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775FD7" w:rsidP="001B519B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1B519B">
              <w:rPr>
                <w:rStyle w:val="rvts9"/>
                <w:bCs/>
                <w:sz w:val="28"/>
                <w:szCs w:val="28"/>
              </w:rPr>
              <w:t xml:space="preserve">41 </w:t>
            </w:r>
            <w:r>
              <w:rPr>
                <w:rStyle w:val="rvts9"/>
                <w:bCs/>
                <w:sz w:val="28"/>
                <w:szCs w:val="28"/>
              </w:rPr>
              <w:t>- о</w:t>
            </w:r>
            <w:r>
              <w:rPr>
                <w:rStyle w:val="rvts9"/>
                <w:bCs/>
                <w:color w:val="FFFFFF" w:themeColor="background1"/>
              </w:rPr>
              <w:t xml:space="preserve">     </w:t>
            </w:r>
            <w:r w:rsidR="00F75BF1">
              <w:rPr>
                <w:rStyle w:val="rvts9"/>
                <w:bCs/>
                <w:color w:val="000000"/>
              </w:rPr>
              <w:t xml:space="preserve">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</w:t>
      </w:r>
      <w:r w:rsidR="00FA1F4D" w:rsidRPr="00FA1F4D">
        <w:rPr>
          <w:b/>
          <w:bCs/>
          <w:sz w:val="28"/>
          <w:szCs w:val="28"/>
          <w:bdr w:val="none" w:sz="0" w:space="0" w:color="auto" w:frame="1"/>
        </w:rPr>
        <w:t xml:space="preserve">відділу бухгалтерського обліку та звітності управління інфраструктури та бухгалтерського обліку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7B4EE7" w:rsidRPr="007B4EE7">
        <w:rPr>
          <w:rFonts w:ascii="Times New Roman" w:hAnsi="Times New Roman"/>
          <w:spacing w:val="-8"/>
          <w:szCs w:val="24"/>
          <w:lang w:val="uk-UA"/>
        </w:rPr>
        <w:t xml:space="preserve">м. Дніпро, </w:t>
      </w:r>
      <w:r w:rsidR="00B7224E">
        <w:rPr>
          <w:rFonts w:ascii="Times New Roman" w:hAnsi="Times New Roman"/>
          <w:szCs w:val="24"/>
          <w:lang w:val="uk-UA"/>
        </w:rPr>
        <w:t>Сімферопольська, 17</w:t>
      </w:r>
      <w:r w:rsidR="00775FD7">
        <w:rPr>
          <w:rFonts w:ascii="Times New Roman" w:hAnsi="Times New Roman"/>
          <w:szCs w:val="24"/>
          <w:lang w:val="uk-UA"/>
        </w:rPr>
        <w:t xml:space="preserve">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A1F4D" w:rsidRDefault="00FA1F4D" w:rsidP="00FA1F4D">
            <w:pPr>
              <w:spacing w:line="228" w:lineRule="auto"/>
              <w:ind w:left="232" w:right="146"/>
              <w:jc w:val="both"/>
            </w:pPr>
            <w:r>
              <w:t xml:space="preserve">Ведення бухгалтерського обліку в ГУ ДПС відповідно до нормативно-правових актів щодо ведення бухгалтерського обліку; забезпечення роботи у системі ДПС – ПРО 7 в частині ведення бухгалтерського обліку в централізованій базі. </w:t>
            </w:r>
          </w:p>
          <w:p w:rsidR="00FA1F4D" w:rsidRDefault="00FA1F4D" w:rsidP="00FA1F4D">
            <w:pPr>
              <w:spacing w:line="228" w:lineRule="auto"/>
              <w:ind w:left="232" w:right="146"/>
              <w:jc w:val="both"/>
            </w:pPr>
            <w:r>
              <w:t>Складання оперативної та статистичної звітності; оформлення договорів про матеріальну відповідальність; ведення доходів спеціального фонду бюджету від реалізації продукції, забезпечення щомісячного оформлення оборотних відомостей та аналітичних довідок по рахунках обліку основних засобів, інших необоротних матеріальних активів, нематеріальних активів, капітальних інвестицій; складання меморіальних ордерів № 9,10,13.</w:t>
            </w:r>
          </w:p>
          <w:p w:rsidR="00FA1F4D" w:rsidRDefault="00FA1F4D" w:rsidP="00FA1F4D">
            <w:pPr>
              <w:spacing w:line="228" w:lineRule="auto"/>
              <w:ind w:left="232" w:right="146"/>
              <w:jc w:val="both"/>
            </w:pPr>
            <w:r>
              <w:t>Проведення розрахунку амортизації основних засобів та амортизації інших необоротних матеріальних активів.</w:t>
            </w:r>
          </w:p>
          <w:p w:rsidR="00FA1F4D" w:rsidRDefault="00FA1F4D" w:rsidP="00FA1F4D">
            <w:pPr>
              <w:spacing w:line="228" w:lineRule="auto"/>
              <w:ind w:left="232" w:right="146"/>
              <w:jc w:val="both"/>
            </w:pPr>
            <w:r>
              <w:t>Здійснення оформлення первинних документів на видачу (внутрішнє переміщення, передачу) зі складу матеріальних цінностей, облік основних засобів та запасів.</w:t>
            </w:r>
          </w:p>
          <w:p w:rsidR="00950EBF" w:rsidRPr="00A15D95" w:rsidRDefault="00FA1F4D" w:rsidP="00FA1F4D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Прийняття участі у проведенні інвентаризації активів та зобов’язань в ГУ ДПС: підготовка матеріалів для проведення інвентаризації, забезпечення своєчасного і правильного оформлення та відображення в обліку результатів інвентаризації матеріальних цінностей, розрахунків та інших статей балансу ГУ ДПС.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грн;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надбавка до посадового окладу за ранг державного службовця відповідно до постанови Кабінету Міністрів </w:t>
            </w:r>
            <w:r>
              <w:lastRenderedPageBreak/>
              <w:t>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>(зі змінами) (далі – Порядок), 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lastRenderedPageBreak/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775FD7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D7258D" w:rsidP="00E908A3">
            <w:pPr>
              <w:pStyle w:val="aa"/>
              <w:ind w:left="232" w:right="50"/>
            </w:pPr>
            <w:r>
              <w:t>1</w:t>
            </w:r>
            <w:r w:rsidR="00775FD7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775FD7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775FD7">
              <w:rPr>
                <w:lang w:val="ru-RU"/>
              </w:rPr>
              <w:t>(</w:t>
            </w:r>
            <w:proofErr w:type="spellStart"/>
            <w:r w:rsidR="00775FD7">
              <w:rPr>
                <w:lang w:val="ru-RU"/>
              </w:rPr>
              <w:t>бажано</w:t>
            </w:r>
            <w:proofErr w:type="spellEnd"/>
            <w:r w:rsidR="00775FD7">
              <w:rPr>
                <w:lang w:val="ru-RU"/>
              </w:rPr>
              <w:t xml:space="preserve"> за </w:t>
            </w:r>
            <w:proofErr w:type="spellStart"/>
            <w:r w:rsidR="00775FD7">
              <w:rPr>
                <w:lang w:val="ru-RU"/>
              </w:rPr>
              <w:t>фахом</w:t>
            </w:r>
            <w:proofErr w:type="spellEnd"/>
            <w:r w:rsidR="00775FD7">
              <w:rPr>
                <w:lang w:val="ru-RU"/>
              </w:rPr>
              <w:t xml:space="preserve"> </w:t>
            </w:r>
            <w:proofErr w:type="spellStart"/>
            <w:r w:rsidR="00775FD7">
              <w:rPr>
                <w:lang w:val="ru-RU"/>
              </w:rPr>
              <w:t>економічного</w:t>
            </w:r>
            <w:proofErr w:type="spellEnd"/>
            <w:r w:rsidR="00775FD7">
              <w:rPr>
                <w:lang w:val="ru-RU"/>
              </w:rPr>
              <w:t xml:space="preserve"> </w:t>
            </w:r>
            <w:proofErr w:type="spellStart"/>
            <w:r w:rsidR="00775FD7">
              <w:rPr>
                <w:lang w:val="ru-RU"/>
              </w:rPr>
              <w:t>спрямування</w:t>
            </w:r>
            <w:proofErr w:type="spellEnd"/>
            <w:r w:rsidR="00775FD7">
              <w:rPr>
                <w:lang w:val="ru-RU"/>
              </w:rPr>
              <w:t>)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Default="00FA1F4D" w:rsidP="00FA1F4D">
            <w:pPr>
              <w:pStyle w:val="a8"/>
              <w:spacing w:line="228" w:lineRule="auto"/>
              <w:ind w:left="212" w:right="192"/>
            </w:pPr>
            <w:r>
              <w:t xml:space="preserve">- здатність працювати з документами в різних цифрових форматах; </w:t>
            </w:r>
          </w:p>
          <w:p w:rsidR="00FA1F4D" w:rsidRDefault="00FA1F4D" w:rsidP="00FA1F4D">
            <w:pPr>
              <w:pStyle w:val="a8"/>
              <w:spacing w:line="228" w:lineRule="auto"/>
              <w:ind w:left="212" w:right="192"/>
            </w:pPr>
            <w:r>
              <w:t>-</w:t>
            </w:r>
            <w:r w:rsidRPr="00FA1F4D">
              <w:t xml:space="preserve"> </w:t>
            </w:r>
            <w: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 </w:t>
            </w:r>
          </w:p>
          <w:p w:rsidR="00FF29CE" w:rsidRDefault="00FA1F4D" w:rsidP="00FA1F4D">
            <w:pPr>
              <w:ind w:left="212" w:right="148"/>
              <w:jc w:val="both"/>
            </w:pPr>
            <w:r>
              <w:t>- здатність використовувати відкриті цифрові ресурси для власного професійного розвитку</w:t>
            </w:r>
            <w:r w:rsidR="00775FD7">
              <w:t>.</w:t>
            </w:r>
          </w:p>
          <w:p w:rsidR="00775FD7" w:rsidRPr="00684DC3" w:rsidRDefault="00775FD7" w:rsidP="00FA1F4D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A1F4D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B00C65" w:rsidRDefault="00FA1F4D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684DC3" w:rsidRDefault="00FA1F4D" w:rsidP="00FF680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684DC3" w:rsidRDefault="00FA1F4D" w:rsidP="00FF6805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A1F4D" w:rsidRDefault="00FA1F4D" w:rsidP="00FF6805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775FD7">
              <w:t>.</w:t>
            </w:r>
          </w:p>
          <w:p w:rsidR="00775FD7" w:rsidRPr="00775FD7" w:rsidRDefault="00775FD7" w:rsidP="00FF680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A1F4D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B00C65" w:rsidRDefault="00FA1F4D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684DC3" w:rsidRDefault="00FA1F4D" w:rsidP="00A1749F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684DC3" w:rsidRDefault="00FA1F4D" w:rsidP="00A1749F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A1F4D" w:rsidRPr="00684DC3" w:rsidRDefault="00FA1F4D" w:rsidP="00A1749F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A1F4D" w:rsidRDefault="00FA1F4D" w:rsidP="00A1749F">
            <w:pPr>
              <w:ind w:left="186" w:right="146"/>
              <w:jc w:val="both"/>
            </w:pPr>
            <w:r w:rsidRPr="00684DC3">
              <w:t>- оптимізм</w:t>
            </w:r>
            <w:r>
              <w:t>.</w:t>
            </w:r>
          </w:p>
          <w:p w:rsidR="00775FD7" w:rsidRPr="00775FD7" w:rsidRDefault="00775FD7" w:rsidP="00A1749F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A1F4D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B00C65" w:rsidRDefault="00FA1F4D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FA1F4D" w:rsidRPr="00B00C65" w:rsidRDefault="00FA1F4D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FA1F4D" w:rsidRPr="00B00C65" w:rsidRDefault="00FA1F4D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FA1F4D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B00C65" w:rsidRDefault="00FA1F4D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F4D" w:rsidRPr="00B00C65" w:rsidRDefault="00FA1F4D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FA1F4D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B00C65" w:rsidRDefault="00FA1F4D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B00C65" w:rsidRDefault="00FA1F4D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B00C65" w:rsidRDefault="00FA1F4D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FA1F4D" w:rsidRPr="00B00C65" w:rsidRDefault="00FA1F4D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FA1F4D" w:rsidRPr="00B00C65" w:rsidRDefault="00FA1F4D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FA1F4D" w:rsidRPr="00B00C65" w:rsidRDefault="00FA1F4D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FA1F4D" w:rsidRPr="00B00C65" w:rsidRDefault="00FA1F4D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FA1F4D" w:rsidRPr="00B00C65" w:rsidRDefault="00FA1F4D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FA1F4D" w:rsidRPr="00B00C65" w:rsidRDefault="00FA1F4D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FA1F4D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B00C65" w:rsidRDefault="00FA1F4D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B00C65" w:rsidRDefault="00FA1F4D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FA1F4D" w:rsidRPr="00B00C65" w:rsidRDefault="00FA1F4D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FA1F4D" w:rsidRPr="00B00C65" w:rsidRDefault="00FA1F4D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4D" w:rsidRPr="00684DC3" w:rsidRDefault="00FA1F4D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5E16A8" w:rsidRDefault="00FA1F4D" w:rsidP="00FF29CE">
            <w:pPr>
              <w:ind w:left="240" w:right="146"/>
              <w:jc w:val="both"/>
            </w:pPr>
            <w:r w:rsidRPr="00684DC3">
              <w:t>Податкового кодексу України</w:t>
            </w:r>
            <w:r w:rsidR="005E16A8">
              <w:t>;</w:t>
            </w:r>
          </w:p>
          <w:p w:rsidR="005E16A8" w:rsidRDefault="005E16A8" w:rsidP="005E16A8">
            <w:pPr>
              <w:spacing w:line="228" w:lineRule="auto"/>
              <w:ind w:left="240" w:right="146"/>
            </w:pPr>
            <w:r>
              <w:t xml:space="preserve">Бюджетного кодексу України; </w:t>
            </w:r>
          </w:p>
          <w:p w:rsidR="00755D59" w:rsidRDefault="00755D59" w:rsidP="00755D59">
            <w:pPr>
              <w:spacing w:line="228" w:lineRule="auto"/>
              <w:ind w:left="240" w:right="146"/>
            </w:pPr>
            <w:r>
              <w:t>Закону України «Про бухгалтерський облік та фінансову звітність в Україні»;</w:t>
            </w:r>
          </w:p>
          <w:p w:rsidR="00FA1F4D" w:rsidRPr="00684DC3" w:rsidRDefault="005E16A8" w:rsidP="005E16A8">
            <w:pPr>
              <w:ind w:left="240" w:right="146"/>
              <w:jc w:val="both"/>
            </w:pPr>
            <w:r>
              <w:t>Національних положень (стандартів) бухгалтерського обліку в державному секторі</w:t>
            </w:r>
            <w:bookmarkStart w:id="0" w:name="_GoBack"/>
            <w:bookmarkEnd w:id="0"/>
            <w:r w:rsidR="00FA1F4D" w:rsidRPr="00684DC3">
              <w:t>.</w:t>
            </w:r>
          </w:p>
          <w:p w:rsidR="00FA1F4D" w:rsidRPr="00B00C65" w:rsidRDefault="00FA1F4D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62" w:rsidRDefault="00EE6E62" w:rsidP="0098002C">
      <w:r>
        <w:separator/>
      </w:r>
    </w:p>
  </w:endnote>
  <w:endnote w:type="continuationSeparator" w:id="0">
    <w:p w:rsidR="00EE6E62" w:rsidRDefault="00EE6E62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62" w:rsidRDefault="00EE6E62" w:rsidP="0098002C">
      <w:r>
        <w:separator/>
      </w:r>
    </w:p>
  </w:footnote>
  <w:footnote w:type="continuationSeparator" w:id="0">
    <w:p w:rsidR="00EE6E62" w:rsidRDefault="00EE6E62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B12618">
        <w:pPr>
          <w:pStyle w:val="ab"/>
          <w:jc w:val="center"/>
        </w:pPr>
        <w:r>
          <w:fldChar w:fldCharType="begin"/>
        </w:r>
        <w:r w:rsidR="000348FA">
          <w:instrText xml:space="preserve"> PAGE   \* MERGEFORMAT </w:instrText>
        </w:r>
        <w:r>
          <w:fldChar w:fldCharType="separate"/>
        </w:r>
        <w:r w:rsidR="001B51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48FA"/>
    <w:rsid w:val="0004009B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B519B"/>
    <w:rsid w:val="001C515A"/>
    <w:rsid w:val="001C64A7"/>
    <w:rsid w:val="001D3B2F"/>
    <w:rsid w:val="001D6BE3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268A0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C43CA"/>
    <w:rsid w:val="003D332C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E16A8"/>
    <w:rsid w:val="005F2C8A"/>
    <w:rsid w:val="00622A49"/>
    <w:rsid w:val="0062466D"/>
    <w:rsid w:val="00631AFD"/>
    <w:rsid w:val="00656328"/>
    <w:rsid w:val="00664980"/>
    <w:rsid w:val="00672EAB"/>
    <w:rsid w:val="0069223A"/>
    <w:rsid w:val="00695283"/>
    <w:rsid w:val="006A7DEC"/>
    <w:rsid w:val="006D79EA"/>
    <w:rsid w:val="006F1CAD"/>
    <w:rsid w:val="006F4DBD"/>
    <w:rsid w:val="007078B7"/>
    <w:rsid w:val="00731F5B"/>
    <w:rsid w:val="00737595"/>
    <w:rsid w:val="00742667"/>
    <w:rsid w:val="00755D59"/>
    <w:rsid w:val="00760194"/>
    <w:rsid w:val="00763B1E"/>
    <w:rsid w:val="00765943"/>
    <w:rsid w:val="00773D99"/>
    <w:rsid w:val="00775FD7"/>
    <w:rsid w:val="00795A49"/>
    <w:rsid w:val="00797A4C"/>
    <w:rsid w:val="007B0850"/>
    <w:rsid w:val="007B4EE7"/>
    <w:rsid w:val="007B60EB"/>
    <w:rsid w:val="007B68B6"/>
    <w:rsid w:val="007D288B"/>
    <w:rsid w:val="007D4025"/>
    <w:rsid w:val="007E01E2"/>
    <w:rsid w:val="00810479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D6376"/>
    <w:rsid w:val="008F07FD"/>
    <w:rsid w:val="0091130C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A061DB"/>
    <w:rsid w:val="00A11E46"/>
    <w:rsid w:val="00A15D95"/>
    <w:rsid w:val="00A30806"/>
    <w:rsid w:val="00A62221"/>
    <w:rsid w:val="00A629B7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2618"/>
    <w:rsid w:val="00B175D5"/>
    <w:rsid w:val="00B25666"/>
    <w:rsid w:val="00B273B0"/>
    <w:rsid w:val="00B32FF2"/>
    <w:rsid w:val="00B5200E"/>
    <w:rsid w:val="00B638D5"/>
    <w:rsid w:val="00B64FBB"/>
    <w:rsid w:val="00B7224E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E5ABB"/>
    <w:rsid w:val="00DF1F22"/>
    <w:rsid w:val="00E32A8F"/>
    <w:rsid w:val="00E346E6"/>
    <w:rsid w:val="00E429BA"/>
    <w:rsid w:val="00E5056E"/>
    <w:rsid w:val="00E82007"/>
    <w:rsid w:val="00E8689C"/>
    <w:rsid w:val="00E908A3"/>
    <w:rsid w:val="00EB0A70"/>
    <w:rsid w:val="00ED7F51"/>
    <w:rsid w:val="00EE05E6"/>
    <w:rsid w:val="00EE6E62"/>
    <w:rsid w:val="00EE7BFA"/>
    <w:rsid w:val="00EF2429"/>
    <w:rsid w:val="00EF5D55"/>
    <w:rsid w:val="00EF6ED0"/>
    <w:rsid w:val="00F15985"/>
    <w:rsid w:val="00F274B5"/>
    <w:rsid w:val="00F3232D"/>
    <w:rsid w:val="00F47A11"/>
    <w:rsid w:val="00F5757C"/>
    <w:rsid w:val="00F66BC5"/>
    <w:rsid w:val="00F73093"/>
    <w:rsid w:val="00F75BF1"/>
    <w:rsid w:val="00F96B2D"/>
    <w:rsid w:val="00FA1F4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4651</Words>
  <Characters>2652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37</cp:revision>
  <cp:lastPrinted>2021-12-22T08:39:00Z</cp:lastPrinted>
  <dcterms:created xsi:type="dcterms:W3CDTF">2021-10-19T07:27:00Z</dcterms:created>
  <dcterms:modified xsi:type="dcterms:W3CDTF">2022-01-26T07:13:00Z</dcterms:modified>
</cp:coreProperties>
</file>