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2E714D" w:rsidP="008F2BAE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 xml:space="preserve">26.01.2022 р.  № </w:t>
            </w:r>
            <w:r w:rsidR="008F2BAE">
              <w:rPr>
                <w:rStyle w:val="rvts9"/>
                <w:bCs/>
                <w:sz w:val="28"/>
                <w:szCs w:val="28"/>
              </w:rPr>
              <w:t>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    </w:t>
            </w:r>
            <w:r w:rsidR="00F75BF1">
              <w:rPr>
                <w:rStyle w:val="rvts9"/>
                <w:bCs/>
                <w:color w:val="000000"/>
              </w:rPr>
              <w:t xml:space="preserve">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0763F4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1410F" w:rsidRDefault="005C3BF9" w:rsidP="0081410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інспектор </w:t>
      </w:r>
      <w:r w:rsidR="00AB317A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відділу </w:t>
      </w:r>
      <w:r w:rsidR="00906D7E" w:rsidRPr="00906D7E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фактичних перевірок </w:t>
      </w:r>
      <w:r w:rsidR="005E64CC">
        <w:rPr>
          <w:rStyle w:val="rvts15"/>
          <w:b/>
          <w:bCs/>
          <w:sz w:val="28"/>
          <w:szCs w:val="28"/>
          <w:bdr w:val="none" w:sz="0" w:space="0" w:color="auto" w:frame="1"/>
        </w:rPr>
        <w:t>у</w:t>
      </w:r>
      <w:r w:rsidR="005E64CC" w:rsidRPr="00247819">
        <w:rPr>
          <w:rStyle w:val="rvts15"/>
          <w:b/>
          <w:bCs/>
          <w:sz w:val="28"/>
          <w:szCs w:val="28"/>
          <w:bdr w:val="none" w:sz="0" w:space="0" w:color="auto" w:frame="1"/>
        </w:rPr>
        <w:t>правління податкового аудиту</w:t>
      </w:r>
      <w:r w:rsidR="005E64CC" w:rsidRPr="007D4025">
        <w:rPr>
          <w:b/>
          <w:sz w:val="28"/>
          <w:szCs w:val="28"/>
        </w:rPr>
        <w:t xml:space="preserve"> </w:t>
      </w:r>
      <w:r w:rsidR="000B70AD" w:rsidRPr="007D4025">
        <w:rPr>
          <w:b/>
          <w:sz w:val="28"/>
          <w:szCs w:val="28"/>
        </w:rPr>
        <w:t>Головного управління ДПС у Дніпропетровській області</w:t>
      </w:r>
      <w:r w:rsidR="000763F4">
        <w:rPr>
          <w:b/>
          <w:sz w:val="28"/>
          <w:szCs w:val="28"/>
        </w:rPr>
        <w:t xml:space="preserve">, </w:t>
      </w:r>
      <w:r w:rsidR="005E64CC">
        <w:rPr>
          <w:b/>
          <w:sz w:val="28"/>
          <w:szCs w:val="28"/>
        </w:rPr>
        <w:br/>
      </w:r>
      <w:r w:rsidR="000763F4">
        <w:rPr>
          <w:b/>
          <w:sz w:val="28"/>
          <w:szCs w:val="28"/>
        </w:rPr>
        <w:t>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906D7E" w:rsidRDefault="00906D7E" w:rsidP="00906D7E">
            <w:pPr>
              <w:ind w:left="232" w:right="192"/>
              <w:jc w:val="both"/>
            </w:pPr>
            <w:r>
              <w:t>Проведення фактичних перевірок (участь у разі необхідності в документальних перевірках) платників податків з питань контролю: за дотриманням порядку здійснення платниками податків розрахункових операцій, ведення касових операцій; наявності ліцензій, патентів, свідоцтв, виданих органами ДПС, у т.ч. про виробництво та обіг підакцизних товарів; дотриманням роботодавцем законодавства щодо укладення трудового договору, оформлення трудових відносин з працівниками (найманими особами).</w:t>
            </w:r>
          </w:p>
          <w:p w:rsidR="00906D7E" w:rsidRDefault="00906D7E" w:rsidP="00906D7E">
            <w:pPr>
              <w:ind w:left="232" w:right="192"/>
              <w:jc w:val="both"/>
            </w:pPr>
            <w:r>
              <w:t>Застосування адміністративного арешту майна платника податків за наявності однієї з обставин, визначених ст.94 ПКУ (у межах повноважень підрозділу, який встановлює такі обставини)</w:t>
            </w:r>
          </w:p>
          <w:p w:rsidR="00906D7E" w:rsidRDefault="00906D7E" w:rsidP="00906D7E">
            <w:pPr>
              <w:ind w:left="232" w:right="192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906D7E" w:rsidRDefault="00906D7E" w:rsidP="00906D7E">
            <w:pPr>
              <w:ind w:left="232" w:right="192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906D7E" w:rsidRDefault="00906D7E" w:rsidP="00906D7E">
            <w:pPr>
              <w:ind w:left="232" w:right="192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906D7E" w:rsidRDefault="00906D7E" w:rsidP="00906D7E">
            <w:pPr>
              <w:ind w:left="232" w:right="192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950EBF" w:rsidRPr="00A15D95" w:rsidRDefault="00906D7E" w:rsidP="00906D7E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грн;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E" w:rsidRPr="00DD5B5C" w:rsidRDefault="000763F4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  <w:sz w:val="18"/>
              </w:rPr>
            </w:pPr>
            <w:proofErr w:type="spellStart"/>
            <w:r w:rsidRPr="00B97058">
              <w:t>Строково</w:t>
            </w:r>
            <w:proofErr w:type="spellEnd"/>
            <w:r w:rsidRPr="00B97058">
              <w:t xml:space="preserve"> </w:t>
            </w:r>
            <w:bookmarkStart w:id="0" w:name="_GoBack"/>
            <w:r w:rsidRPr="008B6077">
              <w:t xml:space="preserve">(на період </w:t>
            </w:r>
            <w:r w:rsidR="008B6077" w:rsidRPr="008B6077">
              <w:rPr>
                <w:lang w:val="ru-RU"/>
              </w:rPr>
              <w:t>2</w:t>
            </w:r>
            <w:r w:rsidRPr="008B6077">
              <w:t xml:space="preserve"> р. </w:t>
            </w:r>
            <w:proofErr w:type="gramStart"/>
            <w:r w:rsidR="008B6077" w:rsidRPr="008B6077">
              <w:rPr>
                <w:lang w:val="ru-RU"/>
              </w:rPr>
              <w:t>6</w:t>
            </w:r>
            <w:r w:rsidRPr="008B6077">
              <w:t xml:space="preserve"> міс.)</w:t>
            </w:r>
            <w:r w:rsidRPr="000763F4">
              <w:rPr>
                <w:color w:val="FF0000"/>
              </w:rPr>
              <w:t xml:space="preserve"> </w:t>
            </w:r>
            <w:bookmarkEnd w:id="0"/>
            <w:proofErr w:type="gramEnd"/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>(зі змінами) (далі – Порядок), 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 xml:space="preserve">) копію Державного сертифіката про рівень володіння </w:t>
            </w:r>
            <w:r w:rsidRPr="00C5505B">
              <w:lastRenderedPageBreak/>
              <w:t>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2E714D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D7258D" w:rsidP="00E95A95">
            <w:pPr>
              <w:pStyle w:val="aa"/>
              <w:ind w:left="232" w:right="50"/>
            </w:pPr>
            <w:r>
              <w:t>1</w:t>
            </w:r>
            <w:r w:rsidR="002E714D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D7258D" w:rsidP="00E95A95">
            <w:pPr>
              <w:pStyle w:val="aa"/>
              <w:ind w:left="232" w:right="50"/>
            </w:pPr>
            <w:r>
              <w:rPr>
                <w:lang w:val="ru-RU"/>
              </w:rPr>
              <w:t>1</w:t>
            </w:r>
            <w:r w:rsidR="002E714D">
              <w:rPr>
                <w:lang w:val="ru-RU"/>
              </w:rPr>
              <w:t>5</w:t>
            </w:r>
            <w:r>
              <w:rPr>
                <w:lang w:val="ru-RU"/>
              </w:rPr>
              <w:t>-1</w:t>
            </w:r>
            <w:r w:rsidR="002E714D">
              <w:rPr>
                <w:lang w:val="ru-RU"/>
              </w:rPr>
              <w:t>7</w:t>
            </w:r>
            <w:r>
              <w:rPr>
                <w:lang w:val="ru-RU"/>
              </w:rP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81410F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 xml:space="preserve">своїх посадових обов’язків;                                                                                                                                                                                                                    </w:t>
            </w:r>
            <w:r w:rsidRPr="00684DC3">
              <w:lastRenderedPageBreak/>
              <w:t>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E2" w:rsidRDefault="00FE60E2" w:rsidP="0098002C">
      <w:r>
        <w:separator/>
      </w:r>
    </w:p>
  </w:endnote>
  <w:endnote w:type="continuationSeparator" w:id="0">
    <w:p w:rsidR="00FE60E2" w:rsidRDefault="00FE60E2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E2" w:rsidRDefault="00FE60E2" w:rsidP="0098002C">
      <w:r>
        <w:separator/>
      </w:r>
    </w:p>
  </w:footnote>
  <w:footnote w:type="continuationSeparator" w:id="0">
    <w:p w:rsidR="00FE60E2" w:rsidRDefault="00FE60E2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F6533A">
        <w:pPr>
          <w:pStyle w:val="ab"/>
          <w:jc w:val="center"/>
        </w:pPr>
        <w:r>
          <w:fldChar w:fldCharType="begin"/>
        </w:r>
        <w:r w:rsidR="00992E55">
          <w:instrText xml:space="preserve"> PAGE   \* MERGEFORMAT </w:instrText>
        </w:r>
        <w:r>
          <w:fldChar w:fldCharType="separate"/>
        </w:r>
        <w:r w:rsidR="00350D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50C8D"/>
    <w:rsid w:val="00063ED5"/>
    <w:rsid w:val="00072184"/>
    <w:rsid w:val="000763F4"/>
    <w:rsid w:val="00080A2F"/>
    <w:rsid w:val="000B70AD"/>
    <w:rsid w:val="000C126E"/>
    <w:rsid w:val="000D2461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D3B2F"/>
    <w:rsid w:val="00202A83"/>
    <w:rsid w:val="002163EA"/>
    <w:rsid w:val="0022180E"/>
    <w:rsid w:val="0024394E"/>
    <w:rsid w:val="00250325"/>
    <w:rsid w:val="00253D73"/>
    <w:rsid w:val="00254920"/>
    <w:rsid w:val="00263B14"/>
    <w:rsid w:val="002B1D00"/>
    <w:rsid w:val="002B4E8F"/>
    <w:rsid w:val="002C6772"/>
    <w:rsid w:val="002E0C64"/>
    <w:rsid w:val="002E714D"/>
    <w:rsid w:val="00315AA1"/>
    <w:rsid w:val="0033305B"/>
    <w:rsid w:val="00350DD5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407626"/>
    <w:rsid w:val="0041150E"/>
    <w:rsid w:val="00432030"/>
    <w:rsid w:val="0043364B"/>
    <w:rsid w:val="004366BA"/>
    <w:rsid w:val="00451530"/>
    <w:rsid w:val="00453737"/>
    <w:rsid w:val="00463B4C"/>
    <w:rsid w:val="00467828"/>
    <w:rsid w:val="00477896"/>
    <w:rsid w:val="004A5F36"/>
    <w:rsid w:val="004C0C6B"/>
    <w:rsid w:val="004E190A"/>
    <w:rsid w:val="004E43FE"/>
    <w:rsid w:val="005421DB"/>
    <w:rsid w:val="005527A1"/>
    <w:rsid w:val="00552EA6"/>
    <w:rsid w:val="0056187E"/>
    <w:rsid w:val="005C3BF9"/>
    <w:rsid w:val="005D3360"/>
    <w:rsid w:val="005D3BCE"/>
    <w:rsid w:val="005E64CC"/>
    <w:rsid w:val="005F2C8A"/>
    <w:rsid w:val="00622A49"/>
    <w:rsid w:val="0062466D"/>
    <w:rsid w:val="00631AFD"/>
    <w:rsid w:val="00656328"/>
    <w:rsid w:val="00664980"/>
    <w:rsid w:val="00667F21"/>
    <w:rsid w:val="00672EAB"/>
    <w:rsid w:val="00695283"/>
    <w:rsid w:val="006A7DEC"/>
    <w:rsid w:val="006F1CAD"/>
    <w:rsid w:val="006F4DBD"/>
    <w:rsid w:val="007078B7"/>
    <w:rsid w:val="00731F5B"/>
    <w:rsid w:val="00737595"/>
    <w:rsid w:val="00742667"/>
    <w:rsid w:val="00760194"/>
    <w:rsid w:val="00763B1E"/>
    <w:rsid w:val="00773D99"/>
    <w:rsid w:val="007769FA"/>
    <w:rsid w:val="00795A49"/>
    <w:rsid w:val="00797A4C"/>
    <w:rsid w:val="007B0850"/>
    <w:rsid w:val="007B60EB"/>
    <w:rsid w:val="007B68B6"/>
    <w:rsid w:val="007D288B"/>
    <w:rsid w:val="007D4025"/>
    <w:rsid w:val="007E01E2"/>
    <w:rsid w:val="00801A2C"/>
    <w:rsid w:val="0081410F"/>
    <w:rsid w:val="008254E5"/>
    <w:rsid w:val="00836EEC"/>
    <w:rsid w:val="0084432F"/>
    <w:rsid w:val="008500B3"/>
    <w:rsid w:val="00855F12"/>
    <w:rsid w:val="00865F10"/>
    <w:rsid w:val="008867E1"/>
    <w:rsid w:val="00892851"/>
    <w:rsid w:val="00892AF1"/>
    <w:rsid w:val="008B39C4"/>
    <w:rsid w:val="008B6077"/>
    <w:rsid w:val="008C1E8F"/>
    <w:rsid w:val="008D0AC8"/>
    <w:rsid w:val="008F07FD"/>
    <w:rsid w:val="008F2BAE"/>
    <w:rsid w:val="00906D7E"/>
    <w:rsid w:val="0091130C"/>
    <w:rsid w:val="00931447"/>
    <w:rsid w:val="00933C0D"/>
    <w:rsid w:val="00935C41"/>
    <w:rsid w:val="00945178"/>
    <w:rsid w:val="00950EBF"/>
    <w:rsid w:val="00964A19"/>
    <w:rsid w:val="0098002C"/>
    <w:rsid w:val="00992E55"/>
    <w:rsid w:val="009B0BE4"/>
    <w:rsid w:val="009C193F"/>
    <w:rsid w:val="00A061DB"/>
    <w:rsid w:val="00A11E46"/>
    <w:rsid w:val="00A15D95"/>
    <w:rsid w:val="00A30806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32FF2"/>
    <w:rsid w:val="00B5200E"/>
    <w:rsid w:val="00B638D5"/>
    <w:rsid w:val="00B64FBB"/>
    <w:rsid w:val="00B851C5"/>
    <w:rsid w:val="00B941D6"/>
    <w:rsid w:val="00BD018B"/>
    <w:rsid w:val="00BD4F77"/>
    <w:rsid w:val="00BE2BF8"/>
    <w:rsid w:val="00BF7F62"/>
    <w:rsid w:val="00C00BB8"/>
    <w:rsid w:val="00C33442"/>
    <w:rsid w:val="00C5505B"/>
    <w:rsid w:val="00C66B3C"/>
    <w:rsid w:val="00C71574"/>
    <w:rsid w:val="00C800ED"/>
    <w:rsid w:val="00C91830"/>
    <w:rsid w:val="00CA36C2"/>
    <w:rsid w:val="00CB68DB"/>
    <w:rsid w:val="00CE2CC9"/>
    <w:rsid w:val="00CE6063"/>
    <w:rsid w:val="00CF01F1"/>
    <w:rsid w:val="00CF7A56"/>
    <w:rsid w:val="00D545AD"/>
    <w:rsid w:val="00D5782F"/>
    <w:rsid w:val="00D655D8"/>
    <w:rsid w:val="00D7258D"/>
    <w:rsid w:val="00D832EB"/>
    <w:rsid w:val="00D9013C"/>
    <w:rsid w:val="00DA0B4B"/>
    <w:rsid w:val="00DB5C5A"/>
    <w:rsid w:val="00DD5B5C"/>
    <w:rsid w:val="00DE132E"/>
    <w:rsid w:val="00DE3B68"/>
    <w:rsid w:val="00DE3D89"/>
    <w:rsid w:val="00DF1F22"/>
    <w:rsid w:val="00E11260"/>
    <w:rsid w:val="00E32A8F"/>
    <w:rsid w:val="00E346E6"/>
    <w:rsid w:val="00E429BA"/>
    <w:rsid w:val="00E5056E"/>
    <w:rsid w:val="00E7647C"/>
    <w:rsid w:val="00E82007"/>
    <w:rsid w:val="00EB0A70"/>
    <w:rsid w:val="00EC6AC8"/>
    <w:rsid w:val="00ED7F51"/>
    <w:rsid w:val="00EE7BFA"/>
    <w:rsid w:val="00EF5D55"/>
    <w:rsid w:val="00EF6ED0"/>
    <w:rsid w:val="00F15985"/>
    <w:rsid w:val="00F274B5"/>
    <w:rsid w:val="00F3232D"/>
    <w:rsid w:val="00F532A3"/>
    <w:rsid w:val="00F6533A"/>
    <w:rsid w:val="00F66BC5"/>
    <w:rsid w:val="00F75BF1"/>
    <w:rsid w:val="00F96B2D"/>
    <w:rsid w:val="00FB3766"/>
    <w:rsid w:val="00FC133F"/>
    <w:rsid w:val="00FD4CE9"/>
    <w:rsid w:val="00FE5ED9"/>
    <w:rsid w:val="00FE60E2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4680</Words>
  <Characters>2669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34</cp:revision>
  <cp:lastPrinted>2021-12-22T08:39:00Z</cp:lastPrinted>
  <dcterms:created xsi:type="dcterms:W3CDTF">2021-10-19T07:27:00Z</dcterms:created>
  <dcterms:modified xsi:type="dcterms:W3CDTF">2022-01-26T07:10:00Z</dcterms:modified>
</cp:coreProperties>
</file>