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A72BC0">
      <w:pPr>
        <w:rPr>
          <w:rFonts w:ascii="e-Ukraine" w:hAnsi="e-Ukraine" w:cs="e-Ukraine"/>
        </w:rPr>
      </w:pPr>
      <w:r w:rsidRPr="00A72BC0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A72BC0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A72BC0">
      <w:pPr>
        <w:rPr>
          <w:rFonts w:ascii="e-Ukraine" w:hAnsi="e-Ukraine" w:cs="e-Ukraine"/>
        </w:rPr>
      </w:pPr>
      <w:r w:rsidRPr="00A72BC0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A72BC0">
      <w:pPr>
        <w:rPr>
          <w:rFonts w:ascii="e-Ukraine" w:hAnsi="e-Ukraine" w:cs="e-Ukraine"/>
        </w:rPr>
      </w:pPr>
      <w:r w:rsidRPr="00A72BC0">
        <w:rPr>
          <w:noProof/>
          <w:lang w:val="ru-RU" w:eastAsia="ru-RU"/>
        </w:rPr>
        <w:pict>
          <v:shape id="Поле 8" o:spid="_x0000_s1029" type="#_x0000_t202" style="position:absolute;margin-left:-4.8pt;margin-top:1.7pt;width:364pt;height:81.1pt;z-index:251657728;visibility:visible;v-text-anchor:middle" filled="f" stroked="f" strokeweight=".5pt">
            <v:textbox style="mso-next-textbox:#Поле 8">
              <w:txbxContent>
                <w:p w:rsidR="003D080C" w:rsidRPr="003D080C" w:rsidRDefault="003D080C" w:rsidP="003D080C">
                  <w:pPr>
                    <w:pStyle w:val="1"/>
                    <w:rPr>
                      <w:rFonts w:ascii="Arial Black" w:hAnsi="Arial Black"/>
                      <w:sz w:val="28"/>
                      <w:szCs w:val="28"/>
                    </w:rPr>
                  </w:pPr>
                  <w:proofErr w:type="spellStart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>Випадки</w:t>
                  </w:r>
                  <w:proofErr w:type="spellEnd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 xml:space="preserve">, за </w:t>
                  </w:r>
                  <w:proofErr w:type="spellStart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>яких</w:t>
                  </w:r>
                  <w:proofErr w:type="spellEnd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>юридична</w:t>
                  </w:r>
                  <w:proofErr w:type="spellEnd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 xml:space="preserve"> особа – </w:t>
                  </w:r>
                  <w:proofErr w:type="spellStart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>платник</w:t>
                  </w:r>
                  <w:proofErr w:type="spellEnd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>єдиного</w:t>
                  </w:r>
                  <w:proofErr w:type="spellEnd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>податку</w:t>
                  </w:r>
                  <w:proofErr w:type="spellEnd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 xml:space="preserve"> не </w:t>
                  </w:r>
                  <w:proofErr w:type="spellStart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>визначає</w:t>
                  </w:r>
                  <w:proofErr w:type="spellEnd"/>
                  <w:r w:rsidRPr="003D080C">
                    <w:rPr>
                      <w:rFonts w:ascii="Arial Black" w:hAnsi="Arial Black"/>
                      <w:sz w:val="28"/>
                      <w:szCs w:val="28"/>
                    </w:rPr>
                    <w:t xml:space="preserve"> МПЗ</w:t>
                  </w:r>
                </w:p>
                <w:p w:rsidR="00EC129C" w:rsidRPr="00EC129C" w:rsidRDefault="00EC129C" w:rsidP="00EC129C">
                  <w:pPr>
                    <w:pStyle w:val="1"/>
                    <w:rPr>
                      <w:rFonts w:ascii="Arial Black" w:hAnsi="Arial Black"/>
                      <w:sz w:val="28"/>
                      <w:szCs w:val="28"/>
                    </w:rPr>
                  </w:pPr>
                </w:p>
                <w:p w:rsidR="00CD5E88" w:rsidRPr="00CD5E88" w:rsidRDefault="00CD5E88" w:rsidP="00CD5E88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  <w:p w:rsidR="00F329F4" w:rsidRPr="00085842" w:rsidRDefault="00F329F4" w:rsidP="00F329F4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D06DD2" w:rsidRDefault="00D06DD2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D06DD2" w:rsidRDefault="00A72BC0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A72BC0">
        <w:rPr>
          <w:noProof/>
          <w:sz w:val="26"/>
          <w:szCs w:val="26"/>
          <w:lang w:val="ru-RU" w:eastAsia="ru-RU"/>
        </w:rPr>
        <w:pict>
          <v:shape id="Поле 9" o:spid="_x0000_s1030" type="#_x0000_t202" style="position:absolute;left:0;text-align:left;margin-left:2.2pt;margin-top:13.05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06168F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EA5568" w:rsidRDefault="00EA5568" w:rsidP="002F1E14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EA5568" w:rsidRDefault="00EA5568" w:rsidP="002F1E14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3D080C" w:rsidRPr="003D080C" w:rsidRDefault="00B23C1D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</w:rPr>
      </w:pPr>
      <w:r w:rsidRPr="003D080C">
        <w:rPr>
          <w:rFonts w:ascii="Arial" w:hAnsi="Arial" w:cs="Arial"/>
          <w:noProof/>
          <w:color w:val="000000"/>
          <w:sz w:val="25"/>
          <w:szCs w:val="25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AF71B3" w:rsidRPr="003D080C">
        <w:rPr>
          <w:rFonts w:ascii="Arial" w:hAnsi="Arial" w:cs="Arial"/>
          <w:noProof/>
          <w:color w:val="000000"/>
          <w:sz w:val="25"/>
          <w:szCs w:val="25"/>
        </w:rPr>
        <w:t>Кам’янськ</w:t>
      </w:r>
      <w:r w:rsidRPr="003D080C">
        <w:rPr>
          <w:rFonts w:ascii="Arial" w:hAnsi="Arial" w:cs="Arial"/>
          <w:noProof/>
          <w:color w:val="000000"/>
          <w:sz w:val="25"/>
          <w:szCs w:val="25"/>
        </w:rPr>
        <w:t>ий р</w:t>
      </w:r>
      <w:r w:rsidR="00A752D9" w:rsidRPr="003D080C">
        <w:rPr>
          <w:rFonts w:ascii="Arial" w:hAnsi="Arial" w:cs="Arial"/>
          <w:noProof/>
          <w:color w:val="000000"/>
          <w:sz w:val="25"/>
          <w:szCs w:val="25"/>
        </w:rPr>
        <w:t>айо</w:t>
      </w:r>
      <w:r w:rsidRPr="003D080C">
        <w:rPr>
          <w:rFonts w:ascii="Arial" w:hAnsi="Arial" w:cs="Arial"/>
          <w:noProof/>
          <w:color w:val="000000"/>
          <w:sz w:val="25"/>
          <w:szCs w:val="25"/>
        </w:rPr>
        <w:t>н</w:t>
      </w:r>
      <w:r w:rsidR="00EC129C" w:rsidRPr="003D080C">
        <w:rPr>
          <w:rFonts w:ascii="Arial" w:hAnsi="Arial" w:cs="Arial"/>
          <w:noProof/>
          <w:color w:val="000000"/>
          <w:sz w:val="25"/>
          <w:szCs w:val="25"/>
        </w:rPr>
        <w:t>)</w:t>
      </w:r>
      <w:r w:rsidR="00D06DD2" w:rsidRPr="003D080C">
        <w:rPr>
          <w:rFonts w:ascii="Arial" w:hAnsi="Arial" w:cs="Arial"/>
          <w:sz w:val="25"/>
          <w:szCs w:val="25"/>
        </w:rPr>
        <w:t xml:space="preserve"> </w:t>
      </w:r>
      <w:r w:rsidR="003D080C" w:rsidRPr="003D080C">
        <w:rPr>
          <w:rFonts w:ascii="Arial" w:hAnsi="Arial" w:cs="Arial"/>
          <w:sz w:val="25"/>
          <w:szCs w:val="25"/>
        </w:rPr>
        <w:t xml:space="preserve">звертає увагу, що мінімальне податкове зобов’язання (МПЗ) не визначається для: </w:t>
      </w:r>
    </w:p>
    <w:p w:rsidR="003D080C" w:rsidRPr="003D080C" w:rsidRDefault="003D080C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</w:rPr>
      </w:pPr>
      <w:r w:rsidRPr="003D080C">
        <w:rPr>
          <w:rFonts w:ascii="Arial" w:hAnsi="Arial" w:cs="Arial"/>
          <w:sz w:val="25"/>
          <w:szCs w:val="25"/>
        </w:rPr>
        <w:t xml:space="preserve">земельних ділянок, що використовуються дачними (дачно-будівельними) та садівничими (городницькими) кооперативами (товариствами), а також набуті у власність/користування членами цих кооперативів (товариств) у результаті приватизації (купівлі/продажу, оренди) у межах земель, що належали цим кооперативам (товариствам) на праві колективної власності чи перебували у їх постійному користуванні; </w:t>
      </w:r>
    </w:p>
    <w:p w:rsidR="003D080C" w:rsidRPr="003D080C" w:rsidRDefault="003D080C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</w:rPr>
      </w:pPr>
      <w:r w:rsidRPr="003D080C">
        <w:rPr>
          <w:rFonts w:ascii="Arial" w:hAnsi="Arial" w:cs="Arial"/>
          <w:sz w:val="25"/>
          <w:szCs w:val="25"/>
        </w:rPr>
        <w:t xml:space="preserve">земель запасу; </w:t>
      </w:r>
    </w:p>
    <w:p w:rsidR="003D080C" w:rsidRPr="003D080C" w:rsidRDefault="003D080C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</w:rPr>
      </w:pPr>
      <w:proofErr w:type="spellStart"/>
      <w:r w:rsidRPr="003D080C">
        <w:rPr>
          <w:rFonts w:ascii="Arial" w:hAnsi="Arial" w:cs="Arial"/>
          <w:sz w:val="25"/>
          <w:szCs w:val="25"/>
        </w:rPr>
        <w:t>невитребуваних</w:t>
      </w:r>
      <w:proofErr w:type="spellEnd"/>
      <w:r w:rsidRPr="003D080C">
        <w:rPr>
          <w:rFonts w:ascii="Arial" w:hAnsi="Arial" w:cs="Arial"/>
          <w:sz w:val="25"/>
          <w:szCs w:val="25"/>
        </w:rPr>
        <w:t xml:space="preserve"> земельних часток (паїв), розпорядниками яких є органи місцевого самоврядування, крім таких земельних часток (паїв), переданих органами місцевого самоврядування в оренду; </w:t>
      </w:r>
    </w:p>
    <w:p w:rsidR="003D080C" w:rsidRPr="003D080C" w:rsidRDefault="003D080C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</w:rPr>
      </w:pPr>
      <w:r w:rsidRPr="003D080C">
        <w:rPr>
          <w:rFonts w:ascii="Arial" w:hAnsi="Arial" w:cs="Arial"/>
          <w:sz w:val="25"/>
          <w:szCs w:val="25"/>
        </w:rPr>
        <w:t xml:space="preserve">земельних ділянок зон відчуження та безумовного (обов’язкового) відселення, що зазнали радіоактивного забруднення внаслідок Чорнобильської катастрофи; </w:t>
      </w:r>
    </w:p>
    <w:p w:rsidR="003D080C" w:rsidRPr="003D080C" w:rsidRDefault="003D080C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</w:rPr>
      </w:pPr>
      <w:r w:rsidRPr="003D080C">
        <w:rPr>
          <w:rFonts w:ascii="Arial" w:hAnsi="Arial" w:cs="Arial"/>
          <w:sz w:val="25"/>
          <w:szCs w:val="25"/>
        </w:rPr>
        <w:t xml:space="preserve">земельних ділянок, віднесених до сільськогосподарських угідь, які належать фізичним особам на праві власності та/або на праві користування та станом на 01 січня звітного року знаходилися у межах населених пунктів; </w:t>
      </w:r>
    </w:p>
    <w:p w:rsidR="003D080C" w:rsidRPr="003D080C" w:rsidRDefault="003D080C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</w:rPr>
      </w:pPr>
      <w:r w:rsidRPr="003D080C">
        <w:rPr>
          <w:rFonts w:ascii="Arial" w:hAnsi="Arial" w:cs="Arial"/>
          <w:sz w:val="25"/>
          <w:szCs w:val="25"/>
        </w:rPr>
        <w:t xml:space="preserve">земельних ділянок, земельних часток (паїв), за які не нараховувалися та не сплачувалися плата за землю або єдиний податок четвертої групи, що перебувають у консервації, або забруднені вибухонебезпечними предметами, або щодо яких прийнято рішення про надання податкових пільг зі сплати місцевих податків та/або зборів на підставі заяв платників податків про визнання земельних ділянок непридатними для використання у зв’язку з потенційною загрозою їх забруднення вибухонебезпечними предметами. </w:t>
      </w:r>
    </w:p>
    <w:p w:rsidR="003D080C" w:rsidRPr="003D080C" w:rsidRDefault="003D080C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</w:rPr>
      </w:pPr>
      <w:r w:rsidRPr="003D080C">
        <w:rPr>
          <w:rFonts w:ascii="Arial" w:hAnsi="Arial" w:cs="Arial"/>
          <w:sz w:val="25"/>
          <w:szCs w:val="25"/>
        </w:rPr>
        <w:t xml:space="preserve">При цьому МПЗ для земельних ділянок, земельних часток (паїв), передбачених абзацом сьомим п. 38 прим. 1.2 ст. 38 прим. 1 Податкового кодексу України (далі – ПКУ) не визначається за період, за який не визначається плата за землю або єдиний податок четвертої групи. </w:t>
      </w:r>
    </w:p>
    <w:p w:rsidR="003D080C" w:rsidRPr="003D080C" w:rsidRDefault="003D080C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</w:rPr>
      </w:pPr>
      <w:r w:rsidRPr="003D080C">
        <w:rPr>
          <w:rFonts w:ascii="Arial" w:hAnsi="Arial" w:cs="Arial"/>
          <w:sz w:val="25"/>
          <w:szCs w:val="25"/>
        </w:rPr>
        <w:t xml:space="preserve">Поряд з цим, при визначені загального МПЗ враховуються особливості, визначені </w:t>
      </w:r>
      <w:proofErr w:type="spellStart"/>
      <w:r w:rsidRPr="003D080C">
        <w:rPr>
          <w:rFonts w:ascii="Arial" w:hAnsi="Arial" w:cs="Arial"/>
          <w:sz w:val="25"/>
          <w:szCs w:val="25"/>
        </w:rPr>
        <w:t>п.п</w:t>
      </w:r>
      <w:proofErr w:type="spellEnd"/>
      <w:r w:rsidRPr="003D080C">
        <w:rPr>
          <w:rFonts w:ascii="Arial" w:hAnsi="Arial" w:cs="Arial"/>
          <w:sz w:val="25"/>
          <w:szCs w:val="25"/>
        </w:rPr>
        <w:t xml:space="preserve">. 69.15 п. 69 </w:t>
      </w:r>
      <w:proofErr w:type="spellStart"/>
      <w:r w:rsidRPr="003D080C">
        <w:rPr>
          <w:rFonts w:ascii="Arial" w:hAnsi="Arial" w:cs="Arial"/>
          <w:sz w:val="25"/>
          <w:szCs w:val="25"/>
        </w:rPr>
        <w:t>підрозд</w:t>
      </w:r>
      <w:proofErr w:type="spellEnd"/>
      <w:r w:rsidRPr="003D080C">
        <w:rPr>
          <w:rFonts w:ascii="Arial" w:hAnsi="Arial" w:cs="Arial"/>
          <w:sz w:val="25"/>
          <w:szCs w:val="25"/>
        </w:rPr>
        <w:t xml:space="preserve">. 10 </w:t>
      </w:r>
      <w:proofErr w:type="spellStart"/>
      <w:r w:rsidRPr="003D080C">
        <w:rPr>
          <w:rFonts w:ascii="Arial" w:hAnsi="Arial" w:cs="Arial"/>
          <w:sz w:val="25"/>
          <w:szCs w:val="25"/>
        </w:rPr>
        <w:t>розд</w:t>
      </w:r>
      <w:proofErr w:type="spellEnd"/>
      <w:r w:rsidRPr="003D080C">
        <w:rPr>
          <w:rFonts w:ascii="Arial" w:hAnsi="Arial" w:cs="Arial"/>
          <w:sz w:val="25"/>
          <w:szCs w:val="25"/>
        </w:rPr>
        <w:t xml:space="preserve">. XX «Перехідні положення» ПКУ. </w:t>
      </w:r>
    </w:p>
    <w:p w:rsidR="00D637CA" w:rsidRDefault="003D080C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  <w:lang w:val="en-US"/>
        </w:rPr>
      </w:pPr>
      <w:r w:rsidRPr="003D080C">
        <w:rPr>
          <w:rFonts w:ascii="Arial" w:hAnsi="Arial" w:cs="Arial"/>
          <w:sz w:val="25"/>
          <w:szCs w:val="25"/>
        </w:rPr>
        <w:t xml:space="preserve">Детальніше – за посиланням </w:t>
      </w:r>
    </w:p>
    <w:p w:rsidR="003D080C" w:rsidRPr="003D080C" w:rsidRDefault="00A72BC0" w:rsidP="003D080C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</w:rPr>
      </w:pPr>
      <w:hyperlink r:id="rId7" w:history="1">
        <w:r w:rsidR="003D080C" w:rsidRPr="003D080C">
          <w:rPr>
            <w:rStyle w:val="a6"/>
            <w:rFonts w:ascii="Arial" w:hAnsi="Arial" w:cs="Arial"/>
            <w:sz w:val="25"/>
            <w:szCs w:val="25"/>
          </w:rPr>
          <w:t>https://zir.tax.gov.ua/main/bz/view/?src=ques&amp;id=43162</w:t>
        </w:r>
      </w:hyperlink>
      <w:r w:rsidR="003D080C" w:rsidRPr="003D080C">
        <w:rPr>
          <w:rFonts w:ascii="Arial" w:hAnsi="Arial" w:cs="Arial"/>
          <w:sz w:val="25"/>
          <w:szCs w:val="25"/>
        </w:rPr>
        <w:t xml:space="preserve"> </w:t>
      </w:r>
    </w:p>
    <w:p w:rsidR="00EA5568" w:rsidRPr="002F1E14" w:rsidRDefault="00D637CA" w:rsidP="002F1E14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6"/>
          <w:szCs w:val="26"/>
          <w:lang w:val="en-US"/>
        </w:rPr>
        <w:t xml:space="preserve">                                                                                                                  </w:t>
      </w:r>
      <w:r w:rsidR="002F1E14" w:rsidRPr="003D080C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noProof/>
          <w:sz w:val="28"/>
          <w:szCs w:val="28"/>
          <w:lang w:val="ru-RU" w:eastAsia="ru-RU"/>
        </w:rPr>
        <w:drawing>
          <wp:inline distT="0" distB="0" distL="0" distR="0">
            <wp:extent cx="622300" cy="622300"/>
            <wp:effectExtent l="19050" t="0" r="6350" b="0"/>
            <wp:docPr id="2" name="Рисунок 1" descr="F:\мп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пз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359" cy="617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842" w:rsidRPr="00EC129C" w:rsidRDefault="00A72BC0" w:rsidP="002F1E14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  <w:lang w:eastAsia="en-US"/>
        </w:rPr>
      </w:pPr>
      <w:r w:rsidRPr="00A72BC0">
        <w:rPr>
          <w:rFonts w:ascii="Arial" w:hAnsi="Arial" w:cs="Arial"/>
          <w:noProof/>
          <w:sz w:val="26"/>
          <w:szCs w:val="26"/>
          <w:lang w:val="ru-RU" w:eastAsia="ru-RU"/>
        </w:rPr>
        <w:pict>
          <v:shape id="Поле 10" o:spid="_x0000_s1031" type="#_x0000_t202" style="position:absolute;left:0;text-align:left;margin-left:-4.8pt;margin-top:1.85pt;width:501.7pt;height:59.85pt;z-index:251660800;visibility:visible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3243BD" w:rsidRPr="003243BD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r w:rsidR="0029696D" w:rsidRPr="0029696D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r w:rsidR="000F52E2" w:rsidRPr="00EC129C">
        <w:rPr>
          <w:rFonts w:ascii="Arial" w:hAnsi="Arial" w:cs="Arial"/>
          <w:sz w:val="26"/>
          <w:szCs w:val="26"/>
          <w:lang w:val="ru-RU" w:eastAsia="ru-RU"/>
        </w:rPr>
        <w:t xml:space="preserve">  </w:t>
      </w:r>
      <w:r w:rsidR="00B67529" w:rsidRPr="00EC129C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  <w:r w:rsidR="00270072" w:rsidRPr="00EC129C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  <w:r w:rsidR="00AF5BEE" w:rsidRPr="00EC129C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</w:p>
    <w:p w:rsidR="00085842" w:rsidRPr="00D06DD2" w:rsidRDefault="00085842" w:rsidP="00D06DD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en-US"/>
        </w:rPr>
      </w:pPr>
    </w:p>
    <w:sectPr w:rsidR="00085842" w:rsidRPr="00D06DD2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168F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85842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2E2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696D"/>
    <w:rsid w:val="0029699E"/>
    <w:rsid w:val="0029719B"/>
    <w:rsid w:val="002A0D64"/>
    <w:rsid w:val="002A1EBF"/>
    <w:rsid w:val="002A251D"/>
    <w:rsid w:val="002A4093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1E14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43BD"/>
    <w:rsid w:val="00325398"/>
    <w:rsid w:val="00325596"/>
    <w:rsid w:val="003275DF"/>
    <w:rsid w:val="0033044A"/>
    <w:rsid w:val="00330FC1"/>
    <w:rsid w:val="0033212D"/>
    <w:rsid w:val="0033476F"/>
    <w:rsid w:val="00342732"/>
    <w:rsid w:val="0034342A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080C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298E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53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5D54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6C61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4C69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D7CA5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07A04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2BC0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5E88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6DD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637CA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0CCA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A5568"/>
    <w:rsid w:val="00EB23B4"/>
    <w:rsid w:val="00EB37AE"/>
    <w:rsid w:val="00EB5998"/>
    <w:rsid w:val="00EC129C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29F4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20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zir.tax.gov.ua/main/bz/view/?src=ques&amp;id=4316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7BBCC1-DEE8-4D77-AA9E-7C73086CD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3</cp:revision>
  <cp:lastPrinted>2020-08-10T08:25:00Z</cp:lastPrinted>
  <dcterms:created xsi:type="dcterms:W3CDTF">2026-09-22T13:30:00Z</dcterms:created>
  <dcterms:modified xsi:type="dcterms:W3CDTF">2026-09-23T13:19:00Z</dcterms:modified>
</cp:coreProperties>
</file>