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2C293A">
      <w:pPr>
        <w:rPr>
          <w:rFonts w:ascii="e-Ukraine" w:hAnsi="e-Ukraine" w:cs="e-Ukraine"/>
        </w:rPr>
      </w:pPr>
      <w:r w:rsidRPr="002C293A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2C293A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7563A3" w:rsidRPr="008941E8" w:rsidRDefault="007563A3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7563A3" w:rsidRPr="00534D03" w:rsidRDefault="007563A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7563A3" w:rsidRPr="008941E8" w:rsidRDefault="007563A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7563A3" w:rsidRPr="008941E8" w:rsidRDefault="007563A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2C293A">
      <w:pPr>
        <w:rPr>
          <w:rFonts w:ascii="e-Ukraine" w:hAnsi="e-Ukraine" w:cs="e-Ukraine"/>
        </w:rPr>
      </w:pPr>
      <w:r w:rsidRPr="002C293A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2C293A">
      <w:pPr>
        <w:rPr>
          <w:rFonts w:ascii="e-Ukraine" w:hAnsi="e-Ukraine" w:cs="e-Ukraine"/>
        </w:rPr>
      </w:pPr>
      <w:r w:rsidRPr="002C293A">
        <w:rPr>
          <w:noProof/>
          <w:lang w:val="ru-RU" w:eastAsia="ru-RU"/>
        </w:rPr>
        <w:pict>
          <v:shape id="Поле 8" o:spid="_x0000_s1029" type="#_x0000_t202" style="position:absolute;margin-left:-4.8pt;margin-top:14.15pt;width:376pt;height:75.3pt;z-index:251657728;visibility:visible;v-text-anchor:middle" filled="f" stroked="f" strokeweight=".5pt">
            <v:textbox style="mso-next-textbox:#Поле 8">
              <w:txbxContent>
                <w:p w:rsidR="00E45CF2" w:rsidRPr="00E45CF2" w:rsidRDefault="00E45CF2" w:rsidP="00E45CF2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E45CF2">
                    <w:rPr>
                      <w:rFonts w:ascii="Arial Black" w:hAnsi="Arial Black"/>
                      <w:sz w:val="28"/>
                      <w:szCs w:val="28"/>
                    </w:rPr>
                    <w:t>Сучасна система управління податковими ризиками – це одна з ключових складових реформування податкової системи</w:t>
                  </w:r>
                </w:p>
                <w:p w:rsidR="00B9473A" w:rsidRPr="00AF3176" w:rsidRDefault="00B9473A" w:rsidP="009931ED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CC5BCE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A458D3" w:rsidRDefault="00A458D3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050567" w:rsidRDefault="002C293A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2C293A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-4.8pt;margin-top:7.45pt;width:190pt;height:26.35pt;z-index:251656704;visibility:visible" filled="f" stroked="f" strokeweight=".5pt">
            <v:textbox style="mso-next-textbox:#Поле 9">
              <w:txbxContent>
                <w:p w:rsidR="007563A3" w:rsidRPr="00B67529" w:rsidRDefault="00282241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</w:t>
                  </w:r>
                  <w:r w:rsidR="0092004C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ен</w:t>
                  </w:r>
                  <w:r w:rsidR="009C0FCE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ь</w:t>
                  </w:r>
                  <w:r w:rsidR="007563A3"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 w:rsidR="00A752D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="007563A3"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7563A3" w:rsidRDefault="007563A3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7563A3" w:rsidRPr="00026C80" w:rsidRDefault="007563A3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E45CF2" w:rsidRPr="00A67630" w:rsidRDefault="00E45CF2" w:rsidP="00E45CF2">
      <w:pPr>
        <w:spacing w:before="240" w:after="24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E45CF2" w:rsidRPr="00E45CF2" w:rsidRDefault="00B23C1D" w:rsidP="00E45CF2">
      <w:pPr>
        <w:spacing w:before="240" w:after="24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E45CF2">
        <w:rPr>
          <w:rFonts w:ascii="Arial" w:hAnsi="Arial" w:cs="Arial"/>
          <w:noProof/>
          <w:color w:val="000000"/>
          <w:sz w:val="24"/>
          <w:szCs w:val="24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E45CF2">
        <w:rPr>
          <w:rFonts w:ascii="Arial" w:hAnsi="Arial" w:cs="Arial"/>
          <w:noProof/>
          <w:color w:val="000000"/>
          <w:sz w:val="24"/>
          <w:szCs w:val="24"/>
        </w:rPr>
        <w:t>айо</w:t>
      </w:r>
      <w:r w:rsidRPr="00E45CF2">
        <w:rPr>
          <w:rFonts w:ascii="Arial" w:hAnsi="Arial" w:cs="Arial"/>
          <w:noProof/>
          <w:color w:val="000000"/>
          <w:sz w:val="24"/>
          <w:szCs w:val="24"/>
        </w:rPr>
        <w:t>н</w:t>
      </w:r>
      <w:r w:rsidR="009A3C86" w:rsidRPr="00E45CF2">
        <w:rPr>
          <w:rFonts w:ascii="Arial" w:hAnsi="Arial" w:cs="Arial"/>
          <w:noProof/>
          <w:color w:val="000000"/>
          <w:sz w:val="24"/>
          <w:szCs w:val="24"/>
        </w:rPr>
        <w:t>)</w:t>
      </w:r>
      <w:r w:rsidR="00E4784B" w:rsidRPr="00E45CF2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 w:rsidR="00E45CF2" w:rsidRPr="00E45CF2">
        <w:rPr>
          <w:rFonts w:ascii="Arial" w:hAnsi="Arial" w:cs="Arial"/>
          <w:sz w:val="24"/>
          <w:szCs w:val="24"/>
          <w:lang w:eastAsia="ru-RU"/>
        </w:rPr>
        <w:t xml:space="preserve">нагадує, що сучасна система управління податковими ризиками у межах реалізації експериментального </w:t>
      </w:r>
      <w:proofErr w:type="spellStart"/>
      <w:r w:rsidR="00E45CF2" w:rsidRPr="00E45CF2">
        <w:rPr>
          <w:rFonts w:ascii="Arial" w:hAnsi="Arial" w:cs="Arial"/>
          <w:sz w:val="24"/>
          <w:szCs w:val="24"/>
          <w:lang w:eastAsia="ru-RU"/>
        </w:rPr>
        <w:t>проєкту</w:t>
      </w:r>
      <w:proofErr w:type="spellEnd"/>
      <w:r w:rsidR="00E45CF2" w:rsidRPr="00E45CF2">
        <w:rPr>
          <w:rFonts w:ascii="Arial" w:hAnsi="Arial" w:cs="Arial"/>
          <w:sz w:val="24"/>
          <w:szCs w:val="24"/>
          <w:lang w:eastAsia="ru-RU"/>
        </w:rPr>
        <w:t xml:space="preserve"> – це одна з ключових складових реформування податкової системи України, визначених Національною стратегією доходів. </w:t>
      </w:r>
    </w:p>
    <w:p w:rsidR="00E45CF2" w:rsidRPr="00E45CF2" w:rsidRDefault="00E45CF2" w:rsidP="00E45CF2">
      <w:pPr>
        <w:spacing w:before="240" w:after="24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E45CF2">
        <w:rPr>
          <w:rFonts w:ascii="Arial" w:hAnsi="Arial" w:cs="Arial"/>
          <w:sz w:val="24"/>
          <w:szCs w:val="24"/>
          <w:lang w:eastAsia="ru-RU"/>
        </w:rPr>
        <w:t xml:space="preserve">Застосування податкового </w:t>
      </w:r>
      <w:proofErr w:type="spellStart"/>
      <w:r w:rsidRPr="00E45CF2">
        <w:rPr>
          <w:rFonts w:ascii="Arial" w:hAnsi="Arial" w:cs="Arial"/>
          <w:sz w:val="24"/>
          <w:szCs w:val="24"/>
          <w:lang w:eastAsia="ru-RU"/>
        </w:rPr>
        <w:t>комплаєнсу</w:t>
      </w:r>
      <w:proofErr w:type="spellEnd"/>
      <w:r w:rsidRPr="00E45CF2">
        <w:rPr>
          <w:rFonts w:ascii="Arial" w:hAnsi="Arial" w:cs="Arial"/>
          <w:sz w:val="24"/>
          <w:szCs w:val="24"/>
          <w:lang w:eastAsia="ru-RU"/>
        </w:rPr>
        <w:t xml:space="preserve"> є сучасною практикою країн Європейського Союзу у сфері податкового адміністрування. Під час реалізації </w:t>
      </w:r>
      <w:proofErr w:type="spellStart"/>
      <w:r w:rsidRPr="00E45CF2">
        <w:rPr>
          <w:rFonts w:ascii="Arial" w:hAnsi="Arial" w:cs="Arial"/>
          <w:sz w:val="24"/>
          <w:szCs w:val="24"/>
          <w:lang w:eastAsia="ru-RU"/>
        </w:rPr>
        <w:t>проєкту</w:t>
      </w:r>
      <w:proofErr w:type="spellEnd"/>
      <w:r w:rsidRPr="00E45CF2">
        <w:rPr>
          <w:rFonts w:ascii="Arial" w:hAnsi="Arial" w:cs="Arial"/>
          <w:sz w:val="24"/>
          <w:szCs w:val="24"/>
          <w:lang w:eastAsia="ru-RU"/>
        </w:rPr>
        <w:t xml:space="preserve"> здійснюється аналіз ризиків, визначаються найбільш значущі з них та встановлюються їх першопричини. </w:t>
      </w:r>
    </w:p>
    <w:p w:rsidR="00E45CF2" w:rsidRPr="00E45CF2" w:rsidRDefault="00E45CF2" w:rsidP="00E45CF2">
      <w:pPr>
        <w:spacing w:before="240" w:after="24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E45CF2">
        <w:rPr>
          <w:rFonts w:ascii="Arial" w:hAnsi="Arial" w:cs="Arial"/>
          <w:sz w:val="24"/>
          <w:szCs w:val="24"/>
          <w:lang w:eastAsia="ru-RU"/>
        </w:rPr>
        <w:t xml:space="preserve">На основі цього аналізу робота податкової служби спрямовується так, щоб: </w:t>
      </w:r>
    </w:p>
    <w:p w:rsidR="00E45CF2" w:rsidRPr="00E45CF2" w:rsidRDefault="00A67630" w:rsidP="00E45CF2">
      <w:pPr>
        <w:spacing w:before="240" w:after="24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 </w:t>
      </w:r>
      <w:r w:rsidR="00E45CF2" w:rsidRPr="00E45CF2">
        <w:rPr>
          <w:rFonts w:ascii="Arial" w:hAnsi="Arial" w:cs="Arial"/>
          <w:sz w:val="24"/>
          <w:szCs w:val="24"/>
          <w:lang w:eastAsia="ru-RU"/>
        </w:rPr>
        <w:t xml:space="preserve">підвищити рівень дотримання платниками податків податкових обов'язків із використанням підходу, що базується на оцінці податкових ризиків; </w:t>
      </w:r>
    </w:p>
    <w:p w:rsidR="00E45CF2" w:rsidRPr="00E45CF2" w:rsidRDefault="00A67630" w:rsidP="00E45CF2">
      <w:pPr>
        <w:spacing w:before="240" w:after="24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 </w:t>
      </w:r>
      <w:r w:rsidR="00E45CF2" w:rsidRPr="00E45CF2">
        <w:rPr>
          <w:rFonts w:ascii="Arial" w:hAnsi="Arial" w:cs="Arial"/>
          <w:sz w:val="24"/>
          <w:szCs w:val="24"/>
          <w:lang w:eastAsia="ru-RU"/>
        </w:rPr>
        <w:t xml:space="preserve">сприяти розвитку управління податковими ризиками на основі ризик-орієнтованих підходів (засад) у діяльності ДПС; </w:t>
      </w:r>
    </w:p>
    <w:p w:rsidR="00E45CF2" w:rsidRPr="00E45CF2" w:rsidRDefault="00A67630" w:rsidP="00E45CF2">
      <w:pPr>
        <w:spacing w:before="240" w:after="24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 </w:t>
      </w:r>
      <w:r w:rsidR="00E45CF2" w:rsidRPr="00E45CF2">
        <w:rPr>
          <w:rFonts w:ascii="Arial" w:hAnsi="Arial" w:cs="Arial"/>
          <w:sz w:val="24"/>
          <w:szCs w:val="24"/>
          <w:lang w:eastAsia="ru-RU"/>
        </w:rPr>
        <w:t xml:space="preserve">підвищити рівень довіри та партнерства між ДПС і платниками. </w:t>
      </w:r>
    </w:p>
    <w:p w:rsidR="00E45CF2" w:rsidRPr="00E45CF2" w:rsidRDefault="00E45CF2" w:rsidP="00E45CF2">
      <w:pPr>
        <w:spacing w:before="240" w:after="24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E45CF2">
        <w:rPr>
          <w:rFonts w:ascii="Arial" w:hAnsi="Arial" w:cs="Arial"/>
          <w:sz w:val="24"/>
          <w:szCs w:val="24"/>
          <w:lang w:eastAsia="ru-RU"/>
        </w:rPr>
        <w:t xml:space="preserve">ДПС систематично проводить зустрічі з широким колом громадських організацій, представниками експертного середовища та бізнес-асоціацій. Під час відкритого діалогу формуються пропозиції бізнес-спільноти, які опрацьовуються для удосконалення організаційно-методологічних засад функціонування системи. </w:t>
      </w:r>
    </w:p>
    <w:p w:rsidR="00E45CF2" w:rsidRPr="00E45CF2" w:rsidRDefault="00E45CF2" w:rsidP="00E45CF2">
      <w:pPr>
        <w:spacing w:before="240" w:after="24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E45CF2">
        <w:rPr>
          <w:rFonts w:ascii="Arial" w:hAnsi="Arial" w:cs="Arial"/>
          <w:sz w:val="24"/>
          <w:szCs w:val="24"/>
          <w:lang w:eastAsia="ru-RU"/>
        </w:rPr>
        <w:t xml:space="preserve">Це дозволяє ДПС врахувати практичний досвід управління податковими ризиками і здійснювати комплекс відповідних заходів, зокрема: </w:t>
      </w:r>
    </w:p>
    <w:p w:rsidR="00E45CF2" w:rsidRPr="00E45CF2" w:rsidRDefault="00A67630" w:rsidP="00E45CF2">
      <w:pPr>
        <w:spacing w:before="240" w:after="24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 </w:t>
      </w:r>
      <w:r w:rsidR="00E45CF2" w:rsidRPr="00E45CF2">
        <w:rPr>
          <w:rFonts w:ascii="Arial" w:hAnsi="Arial" w:cs="Arial"/>
          <w:sz w:val="24"/>
          <w:szCs w:val="24"/>
          <w:lang w:eastAsia="ru-RU"/>
        </w:rPr>
        <w:t xml:space="preserve">аналіз зовнішніх джерел інформації про податкові ризики платників податків; </w:t>
      </w:r>
    </w:p>
    <w:p w:rsidR="00E45CF2" w:rsidRPr="00E45CF2" w:rsidRDefault="00A67630" w:rsidP="00E45CF2">
      <w:pPr>
        <w:spacing w:before="240" w:after="24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 </w:t>
      </w:r>
      <w:r w:rsidR="00E45CF2" w:rsidRPr="00E45CF2">
        <w:rPr>
          <w:rFonts w:ascii="Arial" w:hAnsi="Arial" w:cs="Arial"/>
          <w:sz w:val="24"/>
          <w:szCs w:val="24"/>
          <w:lang w:eastAsia="ru-RU"/>
        </w:rPr>
        <w:t xml:space="preserve">ідентифікацію податкових ризиків та визначення заходів впливу на них; </w:t>
      </w:r>
    </w:p>
    <w:p w:rsidR="00E45CF2" w:rsidRPr="00E45CF2" w:rsidRDefault="00A67630" w:rsidP="00E45CF2">
      <w:pPr>
        <w:spacing w:before="240" w:after="24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 </w:t>
      </w:r>
      <w:r w:rsidR="00E45CF2" w:rsidRPr="00E45CF2">
        <w:rPr>
          <w:rFonts w:ascii="Arial" w:hAnsi="Arial" w:cs="Arial"/>
          <w:sz w:val="24"/>
          <w:szCs w:val="24"/>
          <w:lang w:eastAsia="ru-RU"/>
        </w:rPr>
        <w:t xml:space="preserve">формування пропозицій щодо пріоритетних напрямів для розроблення та виконання відповідних планів в діяльності ДПС. </w:t>
      </w:r>
    </w:p>
    <w:p w:rsidR="00050567" w:rsidRPr="00050567" w:rsidRDefault="00050567" w:rsidP="00050567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</w:rPr>
      </w:pPr>
      <w:r w:rsidRPr="00050567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</w:p>
    <w:p w:rsidR="00AF5BEE" w:rsidRPr="00D51CEF" w:rsidRDefault="00B67529" w:rsidP="00D51CEF">
      <w:pPr>
        <w:pStyle w:val="a3"/>
        <w:spacing w:before="0" w:beforeAutospacing="0" w:after="60" w:afterAutospacing="0"/>
        <w:ind w:firstLine="680"/>
        <w:jc w:val="both"/>
        <w:rPr>
          <w:rFonts w:ascii="Arial" w:hAnsi="Arial" w:cs="Arial"/>
          <w:noProof/>
          <w:color w:val="000000"/>
          <w:sz w:val="22"/>
          <w:szCs w:val="22"/>
          <w:lang w:eastAsia="en-US"/>
        </w:rPr>
      </w:pPr>
      <w:r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270072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AF5BEE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</w:p>
    <w:p w:rsidR="00A458D3" w:rsidRPr="00A67630" w:rsidRDefault="00A67630" w:rsidP="00A67630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>
        <w:rPr>
          <w:rFonts w:ascii="Times New Roman" w:hAnsi="Times New Roman" w:cs="Times New Roman"/>
        </w:rPr>
        <w:pict>
          <v:shape id="Поле 10" o:spid="_x0000_s1033" type="#_x0000_t202" style="position:absolute;left:0;text-align:left;margin-left:0;margin-top:9.5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A67630" w:rsidRPr="00A67630" w:rsidRDefault="00A67630" w:rsidP="00A6763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A67630" w:rsidRPr="00A67630" w:rsidRDefault="00A67630" w:rsidP="00A6763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</w:t>
                  </w:r>
                  <w:r w:rsidRPr="00A67630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ент  ДПС України: 0-800-501-007</w:t>
                  </w:r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.</w:t>
                  </w:r>
                </w:p>
                <w:p w:rsidR="00A67630" w:rsidRPr="00A67630" w:rsidRDefault="00A67630" w:rsidP="00A6763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"Гаряча лінія" ДПС України: "Пульс": </w:t>
                  </w:r>
                  <w:r w:rsidRPr="00A67630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0-800-501-007 (напрямок «5</w:t>
                  </w:r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A67630" w:rsidRPr="00A67630" w:rsidRDefault="00A67630" w:rsidP="00A6763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</w:t>
                  </w:r>
                  <w:r w:rsidRPr="00A67630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напрямок «4</w:t>
                  </w:r>
                  <w:r w:rsidRPr="00A6763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A67630" w:rsidRPr="00A67630" w:rsidRDefault="00A67630" w:rsidP="00A67630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257FFB"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sectPr w:rsidR="00A458D3" w:rsidRPr="00A67630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33DD"/>
    <w:rsid w:val="00126476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30D9"/>
    <w:rsid w:val="001C0210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93A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D09AE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67630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102E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5CF2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99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67919-CEBD-4FEE-9552-D4324172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1727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3</cp:revision>
  <cp:lastPrinted>2020-08-10T08:25:00Z</cp:lastPrinted>
  <dcterms:created xsi:type="dcterms:W3CDTF">2026-07-17T06:21:00Z</dcterms:created>
  <dcterms:modified xsi:type="dcterms:W3CDTF">2026-07-17T13:02:00Z</dcterms:modified>
</cp:coreProperties>
</file>