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21" w:rsidRPr="00F90590" w:rsidRDefault="002C1A21" w:rsidP="002C1A21">
      <w:pPr>
        <w:shd w:val="clear" w:color="auto" w:fill="FFFFFF"/>
        <w:spacing w:after="0" w:line="240" w:lineRule="auto"/>
        <w:rPr>
          <w:rFonts w:ascii="Times New Roman" w:eastAsia="Times New Roman" w:hAnsi="Times New Roman" w:cs="Times New Roman"/>
          <w:color w:val="333333"/>
          <w:sz w:val="24"/>
          <w:szCs w:val="24"/>
          <w:lang w:val="uk-UA" w:eastAsia="ru-RU"/>
        </w:rPr>
      </w:pPr>
      <w:r w:rsidRPr="00F90590">
        <w:rPr>
          <w:rFonts w:ascii="Times New Roman" w:eastAsia="Times New Roman" w:hAnsi="Times New Roman" w:cs="Times New Roman"/>
          <w:noProof/>
          <w:color w:val="333333"/>
          <w:sz w:val="24"/>
          <w:szCs w:val="24"/>
          <w:lang w:val="uk-UA" w:eastAsia="uk-UA"/>
        </w:rPr>
        <w:drawing>
          <wp:anchor distT="0" distB="0" distL="114300" distR="114300" simplePos="0" relativeHeight="251658240" behindDoc="0" locked="0" layoutInCell="1" allowOverlap="1">
            <wp:simplePos x="0" y="0"/>
            <wp:positionH relativeFrom="column">
              <wp:posOffset>-12728</wp:posOffset>
            </wp:positionH>
            <wp:positionV relativeFrom="paragraph">
              <wp:posOffset>41825</wp:posOffset>
            </wp:positionV>
            <wp:extent cx="1739859" cy="896928"/>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9859" cy="896928"/>
                    </a:xfrm>
                    <a:prstGeom prst="rect">
                      <a:avLst/>
                    </a:prstGeom>
                    <a:noFill/>
                    <a:ln w="9525">
                      <a:noFill/>
                      <a:miter lim="800000"/>
                      <a:headEnd/>
                      <a:tailEnd/>
                    </a:ln>
                  </pic:spPr>
                </pic:pic>
              </a:graphicData>
            </a:graphic>
          </wp:anchor>
        </w:drawing>
      </w:r>
    </w:p>
    <w:p w:rsidR="002C1A21"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 xml:space="preserve">Головне управління ДПС </w:t>
      </w:r>
    </w:p>
    <w:p w:rsidR="00D025FD"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у Дніпропетровській області</w:t>
      </w:r>
    </w:p>
    <w:p w:rsidR="002C1A21" w:rsidRPr="00F90590" w:rsidRDefault="002C1A21" w:rsidP="00D025FD">
      <w:pPr>
        <w:pBdr>
          <w:top w:val="single" w:sz="12" w:space="10" w:color="DDE6EE"/>
          <w:bottom w:val="single" w:sz="6" w:space="10" w:color="DDE6EE"/>
        </w:pBdr>
        <w:shd w:val="clear" w:color="auto" w:fill="FFFFFF"/>
        <w:spacing w:after="0" w:line="240" w:lineRule="auto"/>
        <w:outlineLvl w:val="0"/>
        <w:rPr>
          <w:rFonts w:ascii="Times New Roman" w:eastAsia="Times New Roman" w:hAnsi="Times New Roman" w:cs="Times New Roman"/>
          <w:color w:val="333333"/>
          <w:kern w:val="36"/>
          <w:sz w:val="24"/>
          <w:szCs w:val="24"/>
          <w:lang w:val="uk-UA" w:eastAsia="ru-RU"/>
        </w:rPr>
      </w:pPr>
    </w:p>
    <w:p w:rsidR="00F90590" w:rsidRDefault="00F90590"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p>
    <w:p w:rsidR="00BD1D7A"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 xml:space="preserve">Питання, які найчастіше порушуються запитувачами </w:t>
      </w:r>
    </w:p>
    <w:p w:rsidR="002C1A21"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у запитах на отримання публічної інформації</w:t>
      </w:r>
    </w:p>
    <w:p w:rsidR="002C1A21" w:rsidRPr="00F90590" w:rsidRDefault="002C1A21"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за січень</w:t>
      </w:r>
      <w:r w:rsidR="00625F24">
        <w:rPr>
          <w:rFonts w:ascii="Times New Roman" w:eastAsia="Times New Roman" w:hAnsi="Times New Roman" w:cs="Times New Roman"/>
          <w:b/>
          <w:kern w:val="36"/>
          <w:sz w:val="24"/>
          <w:szCs w:val="24"/>
          <w:lang w:val="en-US" w:eastAsia="ru-RU"/>
        </w:rPr>
        <w:t>-</w:t>
      </w:r>
      <w:r w:rsidR="00BF3358">
        <w:rPr>
          <w:rFonts w:ascii="Times New Roman" w:eastAsia="Times New Roman" w:hAnsi="Times New Roman" w:cs="Times New Roman"/>
          <w:b/>
          <w:kern w:val="36"/>
          <w:sz w:val="24"/>
          <w:szCs w:val="24"/>
          <w:lang w:val="uk-UA" w:eastAsia="ru-RU"/>
        </w:rPr>
        <w:t>червень</w:t>
      </w:r>
      <w:r w:rsidR="00635A1F" w:rsidRPr="00F90590">
        <w:rPr>
          <w:rFonts w:ascii="Times New Roman" w:eastAsia="Times New Roman" w:hAnsi="Times New Roman" w:cs="Times New Roman"/>
          <w:b/>
          <w:kern w:val="36"/>
          <w:sz w:val="24"/>
          <w:szCs w:val="24"/>
          <w:lang w:val="uk-UA" w:eastAsia="ru-RU"/>
        </w:rPr>
        <w:t xml:space="preserve"> </w:t>
      </w:r>
      <w:r w:rsidRPr="00F90590">
        <w:rPr>
          <w:rFonts w:ascii="Times New Roman" w:eastAsia="Times New Roman" w:hAnsi="Times New Roman" w:cs="Times New Roman"/>
          <w:b/>
          <w:kern w:val="36"/>
          <w:sz w:val="24"/>
          <w:szCs w:val="24"/>
          <w:lang w:val="uk-UA" w:eastAsia="ru-RU"/>
        </w:rPr>
        <w:t>202</w:t>
      </w:r>
      <w:r w:rsidR="00FA04BB">
        <w:rPr>
          <w:rFonts w:ascii="Times New Roman" w:eastAsia="Times New Roman" w:hAnsi="Times New Roman" w:cs="Times New Roman"/>
          <w:b/>
          <w:kern w:val="36"/>
          <w:sz w:val="24"/>
          <w:szCs w:val="24"/>
          <w:lang w:val="uk-UA" w:eastAsia="ru-RU"/>
        </w:rPr>
        <w:t>6</w:t>
      </w:r>
      <w:r w:rsidRPr="00F90590">
        <w:rPr>
          <w:rFonts w:ascii="Times New Roman" w:eastAsia="Times New Roman" w:hAnsi="Times New Roman" w:cs="Times New Roman"/>
          <w:b/>
          <w:kern w:val="36"/>
          <w:sz w:val="24"/>
          <w:szCs w:val="24"/>
          <w:lang w:val="uk-UA" w:eastAsia="ru-RU"/>
        </w:rPr>
        <w:t xml:space="preserve"> року</w:t>
      </w:r>
    </w:p>
    <w:p w:rsidR="00574FF2" w:rsidRPr="00574FF2" w:rsidRDefault="00625F24" w:rsidP="00574FF2">
      <w:pPr>
        <w:spacing w:after="0" w:line="240" w:lineRule="auto"/>
        <w:ind w:firstLine="567"/>
        <w:jc w:val="both"/>
        <w:rPr>
          <w:rFonts w:ascii="Times New Roman" w:hAnsi="Times New Roman" w:cs="Times New Roman"/>
          <w:b/>
          <w:sz w:val="24"/>
          <w:szCs w:val="24"/>
          <w:lang w:val="uk-UA"/>
        </w:rPr>
      </w:pPr>
      <w:bookmarkStart w:id="0" w:name="_GoBack"/>
      <w:bookmarkEnd w:id="0"/>
      <w:r>
        <w:rPr>
          <w:rFonts w:ascii="Times New Roman" w:hAnsi="Times New Roman" w:cs="Times New Roman"/>
          <w:b/>
          <w:sz w:val="24"/>
          <w:szCs w:val="24"/>
          <w:lang w:val="uk-UA"/>
        </w:rPr>
        <w:t xml:space="preserve">1. </w:t>
      </w:r>
      <w:r w:rsidR="00574FF2" w:rsidRPr="00574FF2">
        <w:rPr>
          <w:rFonts w:ascii="Times New Roman" w:hAnsi="Times New Roman" w:cs="Times New Roman"/>
          <w:b/>
          <w:sz w:val="24"/>
          <w:szCs w:val="24"/>
          <w:lang w:val="uk-UA"/>
        </w:rPr>
        <w:t xml:space="preserve">За яких умов </w:t>
      </w:r>
      <w:proofErr w:type="spellStart"/>
      <w:r w:rsidR="00574FF2" w:rsidRPr="00574FF2">
        <w:rPr>
          <w:rFonts w:ascii="Times New Roman" w:hAnsi="Times New Roman" w:cs="Times New Roman"/>
          <w:b/>
          <w:sz w:val="24"/>
          <w:szCs w:val="24"/>
          <w:lang w:val="uk-UA"/>
        </w:rPr>
        <w:t>ФОП</w:t>
      </w:r>
      <w:proofErr w:type="spellEnd"/>
      <w:r w:rsidR="00574FF2" w:rsidRPr="00574FF2">
        <w:rPr>
          <w:rFonts w:ascii="Times New Roman" w:hAnsi="Times New Roman" w:cs="Times New Roman"/>
          <w:b/>
          <w:sz w:val="24"/>
          <w:szCs w:val="24"/>
          <w:lang w:val="uk-UA"/>
        </w:rPr>
        <w:t xml:space="preserve"> (крім е-резидентів) можуть бути платниками ЄП першої – третьої груп?</w:t>
      </w:r>
    </w:p>
    <w:p w:rsidR="00574FF2" w:rsidRDefault="00574FF2" w:rsidP="00574FF2">
      <w:pPr>
        <w:spacing w:after="0" w:line="240" w:lineRule="auto"/>
        <w:jc w:val="both"/>
        <w:rPr>
          <w:rFonts w:ascii="Times New Roman" w:hAnsi="Times New Roman" w:cs="Times New Roman"/>
          <w:sz w:val="24"/>
          <w:szCs w:val="24"/>
          <w:lang w:val="uk-UA"/>
        </w:rPr>
      </w:pPr>
      <w:r>
        <w:t>         </w:t>
      </w:r>
      <w:r w:rsidRPr="00574FF2">
        <w:rPr>
          <w:rFonts w:ascii="Times New Roman" w:hAnsi="Times New Roman" w:cs="Times New Roman"/>
          <w:sz w:val="24"/>
          <w:szCs w:val="24"/>
          <w:lang w:val="uk-UA"/>
        </w:rPr>
        <w:t xml:space="preserve">Згідно з </w:t>
      </w:r>
      <w:proofErr w:type="spellStart"/>
      <w:r w:rsidRPr="00574FF2">
        <w:rPr>
          <w:rFonts w:ascii="Times New Roman" w:hAnsi="Times New Roman" w:cs="Times New Roman"/>
          <w:sz w:val="24"/>
          <w:szCs w:val="24"/>
          <w:lang w:val="uk-UA"/>
        </w:rPr>
        <w:t>п.п</w:t>
      </w:r>
      <w:proofErr w:type="spellEnd"/>
      <w:r w:rsidRPr="00574FF2">
        <w:rPr>
          <w:rFonts w:ascii="Times New Roman" w:hAnsi="Times New Roman" w:cs="Times New Roman"/>
          <w:sz w:val="24"/>
          <w:szCs w:val="24"/>
          <w:lang w:val="uk-UA"/>
        </w:rPr>
        <w:t xml:space="preserve">. 1 п. 291.4 ст. 291 Податкового кодексу України (далі – ПКУ) до платників єдиного податку, які відносяться до першої групи, належать фізичні особи – підприємці (далі –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01 січня податкового (звітного) року.</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xml:space="preserve">         До платників єдиного податку, які відносяться до другої групи, згідно з </w:t>
      </w:r>
      <w:proofErr w:type="spellStart"/>
      <w:r w:rsidRPr="00574FF2">
        <w:rPr>
          <w:rFonts w:ascii="Times New Roman" w:hAnsi="Times New Roman" w:cs="Times New Roman"/>
          <w:sz w:val="24"/>
          <w:szCs w:val="24"/>
          <w:lang w:val="uk-UA"/>
        </w:rPr>
        <w:t>п.п</w:t>
      </w:r>
      <w:proofErr w:type="spellEnd"/>
      <w:r w:rsidRPr="00574FF2">
        <w:rPr>
          <w:rFonts w:ascii="Times New Roman" w:hAnsi="Times New Roman" w:cs="Times New Roman"/>
          <w:sz w:val="24"/>
          <w:szCs w:val="24"/>
          <w:lang w:val="uk-UA"/>
        </w:rPr>
        <w:t xml:space="preserve">. 2 п. 291.4 ст. 291 ПКУ належать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не використовують працю найманих осіб або кількість осіб, які перебувають з ними у трудових відносинах, одночасно не перевищує 10 осіб;</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обсяг доходу не перевищує 834 розміри мінімальної заробітної плати, встановленої законом на 01 січня податкового (звітного) року.</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xml:space="preserve">         Дія </w:t>
      </w:r>
      <w:proofErr w:type="spellStart"/>
      <w:r w:rsidRPr="00574FF2">
        <w:rPr>
          <w:rFonts w:ascii="Times New Roman" w:hAnsi="Times New Roman" w:cs="Times New Roman"/>
          <w:sz w:val="24"/>
          <w:szCs w:val="24"/>
          <w:lang w:val="uk-UA"/>
        </w:rPr>
        <w:t>п.п</w:t>
      </w:r>
      <w:proofErr w:type="spellEnd"/>
      <w:r w:rsidRPr="00574FF2">
        <w:rPr>
          <w:rFonts w:ascii="Times New Roman" w:hAnsi="Times New Roman" w:cs="Times New Roman"/>
          <w:sz w:val="24"/>
          <w:szCs w:val="24"/>
          <w:lang w:val="uk-UA"/>
        </w:rPr>
        <w:t xml:space="preserve">. 2 п. 291.4 ст. 291 ПКУ не поширюється на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xml:space="preserve">, які надають посередницькі послуги з купівлі, продажу, оренди та оцінювання нерухомого майна (група 70.31 КВЕД </w:t>
      </w:r>
      <w:proofErr w:type="spellStart"/>
      <w:r w:rsidRPr="00574FF2">
        <w:rPr>
          <w:rFonts w:ascii="Times New Roman" w:hAnsi="Times New Roman" w:cs="Times New Roman"/>
          <w:sz w:val="24"/>
          <w:szCs w:val="24"/>
          <w:lang w:val="uk-UA"/>
        </w:rPr>
        <w:t>ДК</w:t>
      </w:r>
      <w:proofErr w:type="spellEnd"/>
      <w:r w:rsidRPr="00574FF2">
        <w:rPr>
          <w:rFonts w:ascii="Times New Roman" w:hAnsi="Times New Roman" w:cs="Times New Roman"/>
          <w:sz w:val="24"/>
          <w:szCs w:val="24"/>
          <w:lang w:val="uk-UA"/>
        </w:rPr>
        <w:t xml:space="preserve"> 009:2005),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574FF2">
        <w:rPr>
          <w:rFonts w:ascii="Times New Roman" w:hAnsi="Times New Roman" w:cs="Times New Roman"/>
          <w:sz w:val="24"/>
          <w:szCs w:val="24"/>
          <w:lang w:val="uk-UA"/>
        </w:rPr>
        <w:t>напівдорогоцінного</w:t>
      </w:r>
      <w:proofErr w:type="spellEnd"/>
      <w:r w:rsidRPr="00574FF2">
        <w:rPr>
          <w:rFonts w:ascii="Times New Roman" w:hAnsi="Times New Roman" w:cs="Times New Roman"/>
          <w:sz w:val="24"/>
          <w:szCs w:val="24"/>
          <w:lang w:val="uk-UA"/>
        </w:rPr>
        <w:t xml:space="preserve"> каміння. Такі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xml:space="preserve"> належать виключно до третьої групи платників єдиного податку, якщо відповідають вимогам, встановленим для такої групи.</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xml:space="preserve">         До платників єдиного податку, які відносяться до третьої групи, належать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xml:space="preserve">, які не використовують працю найманих осіб або кількість осіб, які перебувають з ними у трудових відносинах, не обмежена та у яких протягом календарного року обсяг доходу не перевищує 1167 розмірів мінімальної заробітної плати, встановленої законом на 01 січня податкового (звітного) року (абзац другий </w:t>
      </w:r>
      <w:proofErr w:type="spellStart"/>
      <w:r w:rsidRPr="00574FF2">
        <w:rPr>
          <w:rFonts w:ascii="Times New Roman" w:hAnsi="Times New Roman" w:cs="Times New Roman"/>
          <w:sz w:val="24"/>
          <w:szCs w:val="24"/>
          <w:lang w:val="uk-UA"/>
        </w:rPr>
        <w:t>п.п</w:t>
      </w:r>
      <w:proofErr w:type="spellEnd"/>
      <w:r w:rsidRPr="00574FF2">
        <w:rPr>
          <w:rFonts w:ascii="Times New Roman" w:hAnsi="Times New Roman" w:cs="Times New Roman"/>
          <w:sz w:val="24"/>
          <w:szCs w:val="24"/>
          <w:lang w:val="uk-UA"/>
        </w:rPr>
        <w:t>. 3 п. 291.4 ст. 291 ПКУ).</w:t>
      </w:r>
    </w:p>
    <w:p w:rsidR="00574FF2" w:rsidRDefault="00574FF2" w:rsidP="00574FF2">
      <w:pPr>
        <w:spacing w:after="0" w:line="240" w:lineRule="auto"/>
        <w:jc w:val="both"/>
        <w:rPr>
          <w:rFonts w:ascii="Times New Roman" w:hAnsi="Times New Roman" w:cs="Times New Roman"/>
          <w:sz w:val="24"/>
          <w:szCs w:val="24"/>
          <w:lang w:val="uk-UA"/>
        </w:rPr>
      </w:pPr>
      <w:r w:rsidRPr="00574FF2">
        <w:rPr>
          <w:rFonts w:ascii="Times New Roman" w:hAnsi="Times New Roman" w:cs="Times New Roman"/>
          <w:sz w:val="24"/>
          <w:szCs w:val="24"/>
          <w:lang w:val="uk-UA"/>
        </w:rPr>
        <w:t xml:space="preserve">         Разом з цим умови, відповідно до яких </w:t>
      </w:r>
      <w:proofErr w:type="spellStart"/>
      <w:r w:rsidRPr="00574FF2">
        <w:rPr>
          <w:rFonts w:ascii="Times New Roman" w:hAnsi="Times New Roman" w:cs="Times New Roman"/>
          <w:sz w:val="24"/>
          <w:szCs w:val="24"/>
          <w:lang w:val="uk-UA"/>
        </w:rPr>
        <w:t>ФОП</w:t>
      </w:r>
      <w:proofErr w:type="spellEnd"/>
      <w:r w:rsidRPr="00574FF2">
        <w:rPr>
          <w:rFonts w:ascii="Times New Roman" w:hAnsi="Times New Roman" w:cs="Times New Roman"/>
          <w:sz w:val="24"/>
          <w:szCs w:val="24"/>
          <w:lang w:val="uk-UA"/>
        </w:rPr>
        <w:t xml:space="preserve"> не можуть бути платниками єдиного податку першої – третьої груп, зазначені у п. 291.5 ст. 291 ПКУ.</w:t>
      </w:r>
    </w:p>
    <w:p w:rsidR="00574FF2" w:rsidRPr="00F90590" w:rsidRDefault="00574FF2" w:rsidP="00574FF2">
      <w:pPr>
        <w:spacing w:after="0" w:line="240" w:lineRule="auto"/>
        <w:ind w:firstLine="567"/>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574FF2" w:rsidRDefault="00E52A8A" w:rsidP="00574FF2">
      <w:pPr>
        <w:spacing w:after="0" w:line="240" w:lineRule="auto"/>
        <w:rPr>
          <w:lang w:val="uk-UA"/>
        </w:rPr>
      </w:pPr>
      <w:hyperlink r:id="rId9" w:history="1">
        <w:r w:rsidR="00574FF2" w:rsidRPr="00574FF2">
          <w:rPr>
            <w:rStyle w:val="a5"/>
            <w:sz w:val="24"/>
            <w:szCs w:val="24"/>
          </w:rPr>
          <w:t>https://zir.tax.gov.ua/main/bz/view/?src=ques&amp;id=43885</w:t>
        </w:r>
      </w:hyperlink>
    </w:p>
    <w:p w:rsidR="00625F24" w:rsidRDefault="00625F24" w:rsidP="00574FF2">
      <w:pPr>
        <w:spacing w:after="0" w:line="240" w:lineRule="auto"/>
        <w:rPr>
          <w:lang w:val="uk-UA"/>
        </w:rPr>
      </w:pPr>
    </w:p>
    <w:p w:rsidR="00625F24" w:rsidRPr="00625F24" w:rsidRDefault="00625F24" w:rsidP="00625F2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 </w:t>
      </w:r>
      <w:r w:rsidRPr="00625F24">
        <w:rPr>
          <w:rFonts w:ascii="Times New Roman" w:hAnsi="Times New Roman" w:cs="Times New Roman"/>
          <w:b/>
          <w:sz w:val="24"/>
          <w:szCs w:val="24"/>
          <w:lang w:val="uk-UA"/>
        </w:rPr>
        <w:t>Хто є платниками податку на нерухоме майно, відмінне від земельної ділянки?</w:t>
      </w:r>
    </w:p>
    <w:p w:rsidR="00625F24" w:rsidRDefault="00625F24" w:rsidP="00625F24">
      <w:pPr>
        <w:spacing w:after="0" w:line="240" w:lineRule="auto"/>
        <w:jc w:val="both"/>
        <w:rPr>
          <w:rFonts w:ascii="Times New Roman" w:hAnsi="Times New Roman" w:cs="Times New Roman"/>
          <w:sz w:val="24"/>
          <w:szCs w:val="24"/>
          <w:lang w:val="uk-UA"/>
        </w:rPr>
      </w:pPr>
      <w:r>
        <w:t>         </w:t>
      </w:r>
      <w:r w:rsidRPr="00625F24">
        <w:rPr>
          <w:rFonts w:ascii="Times New Roman" w:hAnsi="Times New Roman" w:cs="Times New Roman"/>
          <w:sz w:val="24"/>
          <w:szCs w:val="24"/>
          <w:lang w:val="uk-UA"/>
        </w:rPr>
        <w:t xml:space="preserve">Відповідно до </w:t>
      </w:r>
      <w:proofErr w:type="spellStart"/>
      <w:r w:rsidRPr="00625F24">
        <w:rPr>
          <w:rFonts w:ascii="Times New Roman" w:hAnsi="Times New Roman" w:cs="Times New Roman"/>
          <w:sz w:val="24"/>
          <w:szCs w:val="24"/>
          <w:lang w:val="uk-UA"/>
        </w:rPr>
        <w:t>п.п</w:t>
      </w:r>
      <w:proofErr w:type="spellEnd"/>
      <w:r w:rsidRPr="00625F24">
        <w:rPr>
          <w:rFonts w:ascii="Times New Roman" w:hAnsi="Times New Roman" w:cs="Times New Roman"/>
          <w:sz w:val="24"/>
          <w:szCs w:val="24"/>
          <w:lang w:val="uk-UA"/>
        </w:rPr>
        <w:t>. 266.1.1 п. 266.1 ст. 266 Податкового кодексу України від 02 грудня 2010 року № 2755-VI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w:t>
      </w:r>
    </w:p>
    <w:p w:rsidR="00625F24" w:rsidRDefault="00625F24" w:rsidP="00625F24">
      <w:pPr>
        <w:spacing w:after="0" w:line="240" w:lineRule="auto"/>
        <w:jc w:val="both"/>
        <w:rPr>
          <w:rFonts w:ascii="Times New Roman" w:hAnsi="Times New Roman" w:cs="Times New Roman"/>
          <w:sz w:val="24"/>
          <w:szCs w:val="24"/>
          <w:lang w:val="uk-UA"/>
        </w:rPr>
      </w:pPr>
      <w:r w:rsidRPr="00625F24">
        <w:rPr>
          <w:rFonts w:ascii="Times New Roman" w:hAnsi="Times New Roman" w:cs="Times New Roman"/>
          <w:sz w:val="24"/>
          <w:szCs w:val="24"/>
          <w:lang w:val="uk-UA"/>
        </w:rPr>
        <w:t>        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625F24" w:rsidRDefault="00625F24" w:rsidP="00625F24">
      <w:pPr>
        <w:spacing w:after="0" w:line="240" w:lineRule="auto"/>
        <w:jc w:val="both"/>
        <w:rPr>
          <w:rFonts w:ascii="Times New Roman" w:hAnsi="Times New Roman" w:cs="Times New Roman"/>
          <w:sz w:val="24"/>
          <w:szCs w:val="24"/>
          <w:lang w:val="uk-UA"/>
        </w:rPr>
      </w:pPr>
      <w:r w:rsidRPr="00625F24">
        <w:rPr>
          <w:rFonts w:ascii="Times New Roman" w:hAnsi="Times New Roman" w:cs="Times New Roman"/>
          <w:sz w:val="24"/>
          <w:szCs w:val="24"/>
          <w:lang w:val="uk-UA"/>
        </w:rPr>
        <w:t>          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625F24" w:rsidRDefault="00625F24" w:rsidP="00625F24">
      <w:pPr>
        <w:spacing w:after="0" w:line="240" w:lineRule="auto"/>
        <w:jc w:val="both"/>
        <w:rPr>
          <w:rFonts w:ascii="Times New Roman" w:hAnsi="Times New Roman" w:cs="Times New Roman"/>
          <w:sz w:val="24"/>
          <w:szCs w:val="24"/>
          <w:lang w:val="uk-UA"/>
        </w:rPr>
      </w:pPr>
      <w:r w:rsidRPr="00625F24">
        <w:rPr>
          <w:rFonts w:ascii="Times New Roman" w:hAnsi="Times New Roman" w:cs="Times New Roman"/>
          <w:sz w:val="24"/>
          <w:szCs w:val="24"/>
          <w:lang w:val="uk-UA"/>
        </w:rPr>
        <w:lastRenderedPageBreak/>
        <w:t>          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625F24" w:rsidRDefault="00625F24" w:rsidP="00625F24">
      <w:pPr>
        <w:spacing w:after="0" w:line="240" w:lineRule="auto"/>
        <w:jc w:val="both"/>
        <w:rPr>
          <w:rFonts w:ascii="Times New Roman" w:hAnsi="Times New Roman" w:cs="Times New Roman"/>
          <w:sz w:val="24"/>
          <w:szCs w:val="24"/>
          <w:lang w:val="uk-UA"/>
        </w:rPr>
      </w:pPr>
      <w:r w:rsidRPr="00625F24">
        <w:rPr>
          <w:rFonts w:ascii="Times New Roman" w:hAnsi="Times New Roman" w:cs="Times New Roman"/>
          <w:sz w:val="24"/>
          <w:szCs w:val="24"/>
          <w:lang w:val="uk-UA"/>
        </w:rPr>
        <w:t>          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625F24" w:rsidRPr="00F90590" w:rsidRDefault="00625F24" w:rsidP="00625F24">
      <w:pPr>
        <w:spacing w:after="0" w:line="240" w:lineRule="auto"/>
        <w:ind w:firstLine="567"/>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625F24" w:rsidRDefault="00E52A8A" w:rsidP="00625F24">
      <w:pPr>
        <w:spacing w:after="0" w:line="240" w:lineRule="auto"/>
        <w:jc w:val="both"/>
        <w:rPr>
          <w:rStyle w:val="a5"/>
          <w:sz w:val="24"/>
          <w:szCs w:val="24"/>
          <w:lang w:val="en-US"/>
        </w:rPr>
      </w:pPr>
      <w:hyperlink r:id="rId10" w:history="1">
        <w:r w:rsidR="000E2545" w:rsidRPr="00570CCA">
          <w:rPr>
            <w:rStyle w:val="a5"/>
            <w:sz w:val="24"/>
            <w:szCs w:val="24"/>
          </w:rPr>
          <w:t>https://zir.tax.gov.ua/main/bz/view/?src=ques&amp;id=28081</w:t>
        </w:r>
      </w:hyperlink>
    </w:p>
    <w:p w:rsidR="000E2545" w:rsidRDefault="000E2545" w:rsidP="00625F24">
      <w:pPr>
        <w:spacing w:after="0" w:line="240" w:lineRule="auto"/>
        <w:jc w:val="both"/>
        <w:rPr>
          <w:rStyle w:val="a5"/>
          <w:sz w:val="24"/>
          <w:szCs w:val="24"/>
          <w:lang w:val="en-US"/>
        </w:rPr>
      </w:pPr>
    </w:p>
    <w:p w:rsidR="000E2545" w:rsidRDefault="000E2545" w:rsidP="000E2545">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en-US"/>
        </w:rPr>
        <w:t>3</w:t>
      </w:r>
      <w:r>
        <w:rPr>
          <w:rFonts w:ascii="Times New Roman" w:hAnsi="Times New Roman" w:cs="Times New Roman"/>
          <w:b/>
          <w:sz w:val="24"/>
          <w:szCs w:val="24"/>
          <w:lang w:val="uk-UA"/>
        </w:rPr>
        <w:t xml:space="preserve">. </w:t>
      </w:r>
      <w:r w:rsidRPr="00F1320B">
        <w:rPr>
          <w:rFonts w:ascii="Times New Roman" w:hAnsi="Times New Roman" w:cs="Times New Roman"/>
          <w:b/>
          <w:sz w:val="24"/>
          <w:szCs w:val="24"/>
          <w:lang w:val="uk-UA"/>
        </w:rPr>
        <w:t>Чи можуть контролюючі органи надавати третім особам інформацію стосовно СГ та ФО (у т. ч. як «публічну інформацію»)?</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w:t>
      </w:r>
    </w:p>
    <w:p w:rsidR="000E2545" w:rsidRDefault="000E2545" w:rsidP="000E2545">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Законом України «Про інформацію» інформацією з обмеженим доступом є конфіденційна, таємна та службова інформація.</w:t>
      </w:r>
    </w:p>
    <w:p w:rsidR="000E2545" w:rsidRPr="00F90590" w:rsidRDefault="000E2545" w:rsidP="000E2545">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0E2545" w:rsidRDefault="00E52A8A" w:rsidP="000E2545">
      <w:pPr>
        <w:spacing w:after="0" w:line="240" w:lineRule="auto"/>
        <w:jc w:val="both"/>
        <w:rPr>
          <w:rStyle w:val="a5"/>
          <w:sz w:val="24"/>
          <w:szCs w:val="24"/>
          <w:lang w:val="uk-UA"/>
        </w:rPr>
      </w:pPr>
      <w:hyperlink r:id="rId11" w:history="1">
        <w:r w:rsidR="00E63DE2" w:rsidRPr="00451115">
          <w:rPr>
            <w:rStyle w:val="a5"/>
            <w:sz w:val="24"/>
            <w:szCs w:val="24"/>
          </w:rPr>
          <w:t>https://zir.tax.gov.ua/main/bz/view/?src=ques&amp;id=39755</w:t>
        </w:r>
      </w:hyperlink>
    </w:p>
    <w:p w:rsidR="00E63DE2" w:rsidRPr="00E63DE2" w:rsidRDefault="00E63DE2" w:rsidP="000E2545">
      <w:pPr>
        <w:spacing w:after="0" w:line="240" w:lineRule="auto"/>
        <w:jc w:val="both"/>
        <w:rPr>
          <w:rFonts w:ascii="Arial" w:eastAsia="Times New Roman" w:hAnsi="Arial" w:cs="Arial"/>
          <w:color w:val="222222"/>
          <w:sz w:val="21"/>
          <w:szCs w:val="21"/>
          <w:lang w:eastAsia="ru-RU"/>
        </w:rPr>
      </w:pPr>
    </w:p>
    <w:p w:rsidR="00E63DE2" w:rsidRPr="00E63DE2" w:rsidRDefault="00E63DE2" w:rsidP="00E63DE2">
      <w:pPr>
        <w:spacing w:after="0" w:line="240" w:lineRule="auto"/>
        <w:ind w:firstLine="567"/>
        <w:jc w:val="both"/>
        <w:rPr>
          <w:rFonts w:ascii="Times New Roman" w:hAnsi="Times New Roman" w:cs="Times New Roman"/>
          <w:b/>
          <w:sz w:val="24"/>
          <w:szCs w:val="24"/>
          <w:lang w:val="en-US"/>
        </w:rPr>
      </w:pPr>
      <w:r>
        <w:rPr>
          <w:rFonts w:ascii="Times New Roman" w:hAnsi="Times New Roman" w:cs="Times New Roman"/>
          <w:b/>
          <w:sz w:val="24"/>
          <w:szCs w:val="24"/>
          <w:lang w:val="uk-UA"/>
        </w:rPr>
        <w:t xml:space="preserve">4. </w:t>
      </w:r>
      <w:proofErr w:type="spellStart"/>
      <w:r w:rsidRPr="00E63DE2">
        <w:rPr>
          <w:rFonts w:ascii="Times New Roman" w:hAnsi="Times New Roman" w:cs="Times New Roman"/>
          <w:b/>
          <w:sz w:val="24"/>
          <w:szCs w:val="24"/>
          <w:lang w:val="en-US"/>
        </w:rPr>
        <w:t>Хто</w:t>
      </w:r>
      <w:proofErr w:type="spellEnd"/>
      <w:r w:rsidRPr="00E63DE2">
        <w:rPr>
          <w:rFonts w:ascii="Times New Roman" w:hAnsi="Times New Roman" w:cs="Times New Roman"/>
          <w:b/>
          <w:sz w:val="24"/>
          <w:szCs w:val="24"/>
          <w:lang w:val="en-US"/>
        </w:rPr>
        <w:t xml:space="preserve"> є </w:t>
      </w:r>
      <w:proofErr w:type="spellStart"/>
      <w:r w:rsidRPr="00E63DE2">
        <w:rPr>
          <w:rFonts w:ascii="Times New Roman" w:hAnsi="Times New Roman" w:cs="Times New Roman"/>
          <w:b/>
          <w:sz w:val="24"/>
          <w:szCs w:val="24"/>
          <w:lang w:val="en-US"/>
        </w:rPr>
        <w:t>платниками</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податку</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на</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нерухоме</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майно</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відмінне</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від</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земельної</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ділянки</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та</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яким</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чином</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обчислюється</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сума</w:t>
      </w:r>
      <w:proofErr w:type="spellEnd"/>
      <w:r w:rsidRPr="00E63DE2">
        <w:rPr>
          <w:rFonts w:ascii="Times New Roman" w:hAnsi="Times New Roman" w:cs="Times New Roman"/>
          <w:b/>
          <w:sz w:val="24"/>
          <w:szCs w:val="24"/>
          <w:lang w:val="en-US"/>
        </w:rPr>
        <w:t xml:space="preserve"> </w:t>
      </w:r>
      <w:proofErr w:type="spellStart"/>
      <w:r w:rsidRPr="00E63DE2">
        <w:rPr>
          <w:rFonts w:ascii="Times New Roman" w:hAnsi="Times New Roman" w:cs="Times New Roman"/>
          <w:b/>
          <w:sz w:val="24"/>
          <w:szCs w:val="24"/>
          <w:lang w:val="en-US"/>
        </w:rPr>
        <w:t>податку</w:t>
      </w:r>
      <w:proofErr w:type="spellEnd"/>
      <w:r w:rsidRPr="00E63DE2">
        <w:rPr>
          <w:rFonts w:ascii="Times New Roman" w:hAnsi="Times New Roman" w:cs="Times New Roman"/>
          <w:b/>
          <w:sz w:val="24"/>
          <w:szCs w:val="24"/>
          <w:lang w:val="en-US"/>
        </w:rPr>
        <w:t>?</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Відповідно до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266.1.1 п. 266.1 ст. 266 Податкового кодексу України від 02 грудня 2010 року № 2755-VI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Відповідно до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266.4.1 п. 266.4 ст. 266 ПКУ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а) для квартири/квартир незалежно від їх кількості – на 60 кв. метрів;</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б) для житлового будинку/будинків незалежно від їх кількості – на 120 кв. метрів;</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lastRenderedPageBreak/>
        <w:t xml:space="preserve">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Згідно з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266.7.1 п. 266.7 ст. 266 ПКУ обчислення суми податку на нерухоме майно, відмінне від земельної ділянки,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житлової нерухомості у такому порядку: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266.4.1 п. 266.4 ст. 266 ПКУ та відповідної ставки податку;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266.4.1 п. 266.4 ст. 266 ПКУ та відповідної ставки податку;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xml:space="preserve">. «в»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266.4.1 п. 266.4 ст. 266 ПКУ та відповідної ставки податку;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г) сума податку, обчислена з урахуванням підпунктів «б» і «в»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266.7.1 п. 266.7 ст. 266 ПКУ, розподіляється контролюючим органом пропорційно до питомої ваги загальної площі кожного з об’єктів житлової нерухомості.</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Обчислення суми податку на нерухоме майно, відмінне від земельної ділянки,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Підпунктом 266.7.1 прим. 1 п. 266.7 ст. 266 ПКУ визначено, що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  метрів (для квартири) та/або 500 кв. метрів (для будинку), сума податку, розрахована відповідно до підпунктів «а» – «г»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266.7.1 п. 266.7 ст. 266 ПКУ, збільшується на 25000 грн. на рік за кожен такий об’єкт житлової нерухомості (його частку).</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Підпунктом 266.7.2 п. 266.7 ст. 266 ПКУ визначено, що податкове/податкові повідомлення-рішення про сплату суми/сум податку на нерухоме майно, відмінне від земельної ділянки, обчисленого згідно з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266.7.1 п. 266.7 ст. 266 ПКУ,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 42 ПКУ, до 1 липня року, що настає за базовим податковим (звітним) періодом (роком).</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Податкове/податкові повідомлення-рішення про сплату суми/сум податку на нерухоме майно, відмінне від земельної ділянки, та відповідні платіжні реквізити, визначені в абзаці першому </w:t>
      </w:r>
      <w:proofErr w:type="spellStart"/>
      <w:r w:rsidRPr="00E63DE2">
        <w:rPr>
          <w:rFonts w:ascii="Times New Roman" w:hAnsi="Times New Roman" w:cs="Times New Roman"/>
          <w:lang w:val="uk-UA"/>
        </w:rPr>
        <w:t>п.п</w:t>
      </w:r>
      <w:proofErr w:type="spellEnd"/>
      <w:r w:rsidRPr="00E63DE2">
        <w:rPr>
          <w:rFonts w:ascii="Times New Roman" w:hAnsi="Times New Roman" w:cs="Times New Roman"/>
          <w:lang w:val="uk-UA"/>
        </w:rPr>
        <w:t>. 266.7.2 п. 266.7 ст. 266 ПКУ, що надсилаються платнику податку, повинні містити щодо кожного з об’єктів житлової та/або нежитлової нерухомості, зокрема, але не виключно, інформацію про адресу місцезнаходження об’єкта житлової та/або нежитлової нерухомості, його площу, ставки та надані фізичним особам пільги зі сплати податку на нерухоме майно, відмінне від земельної ділянки.</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Щодо новоствореного (нововведеного) об’єкта житлової та/або нежитлової нерухомості податок сплачується фізичною особою – платником починаючи з місяця, в якому виникло право власності на такий об’єкт.</w:t>
      </w:r>
    </w:p>
    <w:p w:rsidR="00E63DE2" w:rsidRPr="00E63DE2" w:rsidRDefault="00E63DE2" w:rsidP="00E63DE2">
      <w:pPr>
        <w:spacing w:after="0" w:line="240" w:lineRule="auto"/>
        <w:jc w:val="both"/>
        <w:rPr>
          <w:rFonts w:ascii="Times New Roman" w:hAnsi="Times New Roman" w:cs="Times New Roman"/>
          <w:lang w:val="uk-UA"/>
        </w:rPr>
      </w:pPr>
      <w:r w:rsidRPr="00E63DE2">
        <w:rPr>
          <w:rFonts w:ascii="Times New Roman" w:hAnsi="Times New Roman" w:cs="Times New Roman"/>
          <w:lang w:val="uk-UA"/>
        </w:rPr>
        <w:t xml:space="preserve">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E63DE2" w:rsidRPr="00F90590" w:rsidRDefault="00E63DE2" w:rsidP="00E63DE2">
      <w:pPr>
        <w:spacing w:after="0" w:line="240" w:lineRule="auto"/>
        <w:ind w:firstLine="567"/>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E63DE2" w:rsidRPr="00E63DE2" w:rsidRDefault="00E63DE2" w:rsidP="00E63DE2">
      <w:pPr>
        <w:spacing w:after="0" w:line="240" w:lineRule="auto"/>
        <w:jc w:val="both"/>
        <w:rPr>
          <w:rStyle w:val="a5"/>
          <w:sz w:val="24"/>
          <w:szCs w:val="24"/>
        </w:rPr>
      </w:pPr>
      <w:r w:rsidRPr="00E63DE2">
        <w:rPr>
          <w:rStyle w:val="a5"/>
          <w:sz w:val="24"/>
          <w:szCs w:val="24"/>
        </w:rPr>
        <w:t>https://zir.tax.gov.ua/main/bz/view/?src=ques&amp;id=28081</w:t>
      </w:r>
    </w:p>
    <w:p w:rsidR="000E2545" w:rsidRPr="00E63DE2" w:rsidRDefault="00E63DE2" w:rsidP="00E63DE2">
      <w:pPr>
        <w:spacing w:after="0" w:line="240" w:lineRule="auto"/>
        <w:jc w:val="both"/>
        <w:rPr>
          <w:rStyle w:val="a5"/>
          <w:sz w:val="24"/>
          <w:szCs w:val="24"/>
        </w:rPr>
      </w:pPr>
      <w:r w:rsidRPr="00E63DE2">
        <w:rPr>
          <w:rStyle w:val="a5"/>
          <w:sz w:val="24"/>
          <w:szCs w:val="24"/>
        </w:rPr>
        <w:t>https://zir.tax.gov.ua/main/bz/view/?src=ques&amp;id=38020</w:t>
      </w:r>
    </w:p>
    <w:p w:rsidR="00143FC1" w:rsidRDefault="00143FC1" w:rsidP="00143FC1">
      <w:pPr>
        <w:spacing w:after="0" w:line="240" w:lineRule="auto"/>
        <w:ind w:firstLine="567"/>
        <w:jc w:val="both"/>
        <w:rPr>
          <w:rFonts w:ascii="Times New Roman" w:hAnsi="Times New Roman" w:cs="Times New Roman"/>
          <w:b/>
          <w:sz w:val="24"/>
          <w:szCs w:val="24"/>
          <w:lang w:val="uk-UA"/>
        </w:rPr>
      </w:pPr>
    </w:p>
    <w:p w:rsidR="00143FC1" w:rsidRDefault="00143FC1" w:rsidP="00143FC1">
      <w:pPr>
        <w:spacing w:after="0" w:line="240" w:lineRule="auto"/>
        <w:ind w:firstLine="567"/>
        <w:jc w:val="both"/>
        <w:rPr>
          <w:rFonts w:ascii="Times New Roman" w:hAnsi="Times New Roman" w:cs="Times New Roman"/>
          <w:b/>
          <w:sz w:val="24"/>
          <w:szCs w:val="24"/>
          <w:lang w:val="uk-UA"/>
        </w:rPr>
      </w:pPr>
    </w:p>
    <w:p w:rsidR="00143FC1" w:rsidRPr="00143FC1" w:rsidRDefault="00143FC1" w:rsidP="00143FC1">
      <w:pPr>
        <w:spacing w:after="0" w:line="240" w:lineRule="auto"/>
        <w:ind w:firstLine="567"/>
        <w:jc w:val="both"/>
        <w:rPr>
          <w:rFonts w:ascii="Times New Roman" w:hAnsi="Times New Roman" w:cs="Times New Roman"/>
          <w:b/>
          <w:sz w:val="24"/>
          <w:szCs w:val="24"/>
          <w:lang w:val="uk-UA"/>
        </w:rPr>
      </w:pPr>
      <w:r w:rsidRPr="00143FC1">
        <w:rPr>
          <w:rFonts w:ascii="Times New Roman" w:hAnsi="Times New Roman" w:cs="Times New Roman"/>
          <w:b/>
          <w:sz w:val="24"/>
          <w:szCs w:val="24"/>
          <w:lang w:val="uk-UA"/>
        </w:rPr>
        <w:lastRenderedPageBreak/>
        <w:t>5. Чи може платник податків отримати відповідь в Контакт-центрі ДПС на запитання щодо конкретної ситуації, яка стосується виключно даного платника податків в частині податкового законодавства та єдиного внеску?</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xml:space="preserve">        Відповідно до абзацу першого п. 52.1 ст. 52 Податкового кодексу України від 02 грудня 2010 року № 2755-VI зі змінами та доповненнями (далі – ПКУ) за зверненням платників податків у паперовій або електронній формі контролюючий орган, визначений </w:t>
      </w:r>
      <w:proofErr w:type="spellStart"/>
      <w:r w:rsidRPr="00143FC1">
        <w:rPr>
          <w:rFonts w:ascii="Times New Roman" w:hAnsi="Times New Roman" w:cs="Times New Roman"/>
          <w:lang w:val="uk-UA"/>
        </w:rPr>
        <w:t>п.п</w:t>
      </w:r>
      <w:proofErr w:type="spellEnd"/>
      <w:r w:rsidRPr="00143FC1">
        <w:rPr>
          <w:rFonts w:ascii="Times New Roman" w:hAnsi="Times New Roman" w:cs="Times New Roman"/>
          <w:lang w:val="uk-UA"/>
        </w:rPr>
        <w:t>. 41.1.1 п. 41.1 ст. 41 ПКУ, надає їм безоплатно індивідуальні податкові консультації з питань практичного застосування окремих норм податкового та іншого законодавства, контроль за дотриманням якого покладено на такий контролюючий орган, протягом 25 календарних днів, що настають за днем отримання такого звернення даним контролюючим органом.</w:t>
      </w:r>
      <w:r>
        <w:rPr>
          <w:rFonts w:ascii="Times New Roman" w:hAnsi="Times New Roman" w:cs="Times New Roman"/>
          <w:lang w:val="uk-UA"/>
        </w:rPr>
        <w:t xml:space="preserve"> </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Уповноважена особа центрального органу виконавчої влади, що реалізує державну податкову політику, може прийняти рішення про продовження строку розгляду звернення на отримання індивідуальної податкової консультації понад 25-денний строк, але не більше 15 календарних днів, та письмово повідомити про це платнику податків у паперовій або електронній формі до закінчення строку, визначеного абзацом першим цього пункту (абзац дев’ятий п. 52.1 ст. 52 ПКУ).</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Пунктом 52.4 ст. 52 ПКУ встановлено, що індивідуальні податкові консультації надаються:</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xml:space="preserve">        в усній формі – контролюючим органом, визначеним </w:t>
      </w:r>
      <w:proofErr w:type="spellStart"/>
      <w:r w:rsidRPr="00143FC1">
        <w:rPr>
          <w:rFonts w:ascii="Times New Roman" w:hAnsi="Times New Roman" w:cs="Times New Roman"/>
          <w:lang w:val="uk-UA"/>
        </w:rPr>
        <w:t>п.п</w:t>
      </w:r>
      <w:proofErr w:type="spellEnd"/>
      <w:r w:rsidRPr="00143FC1">
        <w:rPr>
          <w:rFonts w:ascii="Times New Roman" w:hAnsi="Times New Roman" w:cs="Times New Roman"/>
          <w:lang w:val="uk-UA"/>
        </w:rPr>
        <w:t>. 41.1.1 п. 41.1 ст. 41 ПКУ, а також державними податковими інспекціями;</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xml:space="preserve">        у паперовій та електронній формах – контролюючим органом, визначеним </w:t>
      </w:r>
      <w:proofErr w:type="spellStart"/>
      <w:r w:rsidRPr="00143FC1">
        <w:rPr>
          <w:rFonts w:ascii="Times New Roman" w:hAnsi="Times New Roman" w:cs="Times New Roman"/>
          <w:lang w:val="uk-UA"/>
        </w:rPr>
        <w:t>п.п</w:t>
      </w:r>
      <w:proofErr w:type="spellEnd"/>
      <w:r w:rsidRPr="00143FC1">
        <w:rPr>
          <w:rFonts w:ascii="Times New Roman" w:hAnsi="Times New Roman" w:cs="Times New Roman"/>
          <w:lang w:val="uk-UA"/>
        </w:rPr>
        <w:t>. 41.1.1 п. 41.1 ст. 41 ПКУ, крім державних податкових інспекцій.</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Слід зазначити, що Контакт-центр ДПС надає тільки уніфіковані відповіді на запитання платників податків.</w:t>
      </w:r>
    </w:p>
    <w:p w:rsidR="00143FC1" w:rsidRDefault="00143FC1" w:rsidP="00143FC1">
      <w:pPr>
        <w:spacing w:after="0" w:line="240" w:lineRule="auto"/>
        <w:jc w:val="both"/>
        <w:rPr>
          <w:rFonts w:ascii="Times New Roman" w:hAnsi="Times New Roman" w:cs="Times New Roman"/>
          <w:lang w:val="uk-UA"/>
        </w:rPr>
      </w:pPr>
      <w:r w:rsidRPr="00143FC1">
        <w:rPr>
          <w:rFonts w:ascii="Times New Roman" w:hAnsi="Times New Roman" w:cs="Times New Roman"/>
          <w:lang w:val="uk-UA"/>
        </w:rPr>
        <w:t>        Для отримання відповідей на конкретні ситуативні запитання, які стосуються конкретних операцій Вам необхідно звернутися відповідно до ст. 52 ПКУ до контролюючих органів з наданням відповідних первинних документів.</w:t>
      </w:r>
    </w:p>
    <w:p w:rsidR="00143FC1" w:rsidRPr="00F90590" w:rsidRDefault="00143FC1" w:rsidP="00143FC1">
      <w:pPr>
        <w:spacing w:after="0" w:line="240" w:lineRule="auto"/>
        <w:ind w:firstLine="567"/>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143FC1" w:rsidRDefault="002A619B" w:rsidP="00143FC1">
      <w:pPr>
        <w:spacing w:after="0" w:line="240" w:lineRule="auto"/>
        <w:jc w:val="both"/>
        <w:rPr>
          <w:rStyle w:val="a5"/>
          <w:sz w:val="24"/>
          <w:szCs w:val="24"/>
          <w:lang w:val="uk-UA"/>
        </w:rPr>
      </w:pPr>
      <w:hyperlink r:id="rId12" w:history="1">
        <w:r w:rsidRPr="007D2968">
          <w:rPr>
            <w:rStyle w:val="a5"/>
            <w:sz w:val="24"/>
            <w:szCs w:val="24"/>
          </w:rPr>
          <w:t>https://zir.tax.gov.ua/main/bz/view/?src=ques&amp;id=34952</w:t>
        </w:r>
      </w:hyperlink>
    </w:p>
    <w:p w:rsidR="002A619B" w:rsidRDefault="002A619B" w:rsidP="00143FC1">
      <w:pPr>
        <w:spacing w:after="0" w:line="240" w:lineRule="auto"/>
        <w:jc w:val="both"/>
        <w:rPr>
          <w:rStyle w:val="a5"/>
          <w:sz w:val="24"/>
          <w:szCs w:val="24"/>
          <w:lang w:val="uk-UA"/>
        </w:rPr>
      </w:pPr>
    </w:p>
    <w:p w:rsidR="002A619B" w:rsidRDefault="002A619B" w:rsidP="002A619B">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6. </w:t>
      </w:r>
      <w:r w:rsidRPr="00F1320B">
        <w:rPr>
          <w:rFonts w:ascii="Times New Roman" w:hAnsi="Times New Roman" w:cs="Times New Roman"/>
          <w:b/>
          <w:sz w:val="24"/>
          <w:szCs w:val="24"/>
          <w:lang w:val="uk-UA"/>
        </w:rPr>
        <w:t>Чи можуть контролюючі органи надавати третім особам інформацію стосовно СГ та ФО (у т. ч. як «публічну інформацію»)?</w:t>
      </w:r>
    </w:p>
    <w:p w:rsidR="002A619B" w:rsidRDefault="002A619B" w:rsidP="002A619B">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w:t>
      </w:r>
    </w:p>
    <w:p w:rsidR="002A619B" w:rsidRDefault="002A619B" w:rsidP="002A619B">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2A619B" w:rsidRDefault="002A619B" w:rsidP="002A619B">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w:t>
      </w:r>
    </w:p>
    <w:p w:rsidR="002A619B" w:rsidRDefault="002A619B" w:rsidP="002A619B">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w:t>
      </w:r>
    </w:p>
    <w:p w:rsidR="002A619B" w:rsidRDefault="002A619B" w:rsidP="002A619B">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Законом України «Про інформацію» інформацією з обмеженим доступом є конфіденційна, таємна та службова інформація.</w:t>
      </w:r>
    </w:p>
    <w:p w:rsidR="002A619B" w:rsidRPr="00F90590" w:rsidRDefault="002A619B" w:rsidP="002A619B">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A619B" w:rsidRPr="002A619B" w:rsidRDefault="002A619B" w:rsidP="002A619B">
      <w:pPr>
        <w:rPr>
          <w:rStyle w:val="a5"/>
          <w:sz w:val="24"/>
          <w:szCs w:val="24"/>
        </w:rPr>
      </w:pPr>
      <w:r w:rsidRPr="002A619B">
        <w:rPr>
          <w:rStyle w:val="a5"/>
          <w:sz w:val="24"/>
          <w:szCs w:val="24"/>
        </w:rPr>
        <w:t>https://zir.tax.gov.ua/main/bz/view/?src=ques&amp;id=39755</w:t>
      </w:r>
    </w:p>
    <w:p w:rsidR="002A619B" w:rsidRPr="002A619B" w:rsidRDefault="002A619B" w:rsidP="00143FC1">
      <w:pPr>
        <w:spacing w:after="0" w:line="240" w:lineRule="auto"/>
        <w:jc w:val="both"/>
        <w:rPr>
          <w:rStyle w:val="a5"/>
          <w:sz w:val="24"/>
          <w:szCs w:val="24"/>
          <w:lang w:val="uk-UA"/>
        </w:rPr>
      </w:pPr>
    </w:p>
    <w:p w:rsidR="00574FF2" w:rsidRPr="00E63DE2" w:rsidRDefault="00574FF2" w:rsidP="00574FF2">
      <w:pPr>
        <w:ind w:firstLine="567"/>
        <w:rPr>
          <w:rFonts w:ascii="Times New Roman" w:hAnsi="Times New Roman" w:cs="Times New Roman"/>
          <w:sz w:val="24"/>
          <w:szCs w:val="24"/>
        </w:rPr>
      </w:pPr>
    </w:p>
    <w:sectPr w:rsidR="00574FF2" w:rsidRPr="00E63DE2" w:rsidSect="00F90590">
      <w:headerReference w:type="default" r:id="rId13"/>
      <w:pgSz w:w="11906" w:h="16838"/>
      <w:pgMar w:top="567"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293" w:rsidRDefault="00B42293" w:rsidP="008C09B3">
      <w:pPr>
        <w:spacing w:after="0" w:line="240" w:lineRule="auto"/>
      </w:pPr>
      <w:r>
        <w:separator/>
      </w:r>
    </w:p>
  </w:endnote>
  <w:endnote w:type="continuationSeparator" w:id="0">
    <w:p w:rsidR="00B42293" w:rsidRDefault="00B42293" w:rsidP="008C0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293" w:rsidRDefault="00B42293" w:rsidP="008C09B3">
      <w:pPr>
        <w:spacing w:after="0" w:line="240" w:lineRule="auto"/>
      </w:pPr>
      <w:r>
        <w:separator/>
      </w:r>
    </w:p>
  </w:footnote>
  <w:footnote w:type="continuationSeparator" w:id="0">
    <w:p w:rsidR="00B42293" w:rsidRDefault="00B42293" w:rsidP="008C0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89844"/>
      <w:docPartObj>
        <w:docPartGallery w:val="Page Numbers (Top of Page)"/>
        <w:docPartUnique/>
      </w:docPartObj>
    </w:sdtPr>
    <w:sdtContent>
      <w:p w:rsidR="008C09B3" w:rsidRPr="00537EA3" w:rsidRDefault="00E52A8A" w:rsidP="00537EA3">
        <w:pPr>
          <w:pStyle w:val="a8"/>
          <w:jc w:val="center"/>
        </w:pPr>
        <w:fldSimple w:instr=" PAGE   \* MERGEFORMAT ">
          <w:r w:rsidR="00BF3358">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0F2"/>
    <w:multiLevelType w:val="hybridMultilevel"/>
    <w:tmpl w:val="974CCC78"/>
    <w:lvl w:ilvl="0" w:tplc="77660B1C">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D5B546A"/>
    <w:multiLevelType w:val="hybridMultilevel"/>
    <w:tmpl w:val="5F22356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53CA4447"/>
    <w:multiLevelType w:val="hybridMultilevel"/>
    <w:tmpl w:val="6A941E92"/>
    <w:lvl w:ilvl="0" w:tplc="D5E4048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2A4E5C"/>
    <w:multiLevelType w:val="hybridMultilevel"/>
    <w:tmpl w:val="97481B34"/>
    <w:lvl w:ilvl="0" w:tplc="464C3A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25FD"/>
    <w:rsid w:val="000157D2"/>
    <w:rsid w:val="000162C3"/>
    <w:rsid w:val="00017989"/>
    <w:rsid w:val="00026803"/>
    <w:rsid w:val="00031C0B"/>
    <w:rsid w:val="000333AA"/>
    <w:rsid w:val="00036790"/>
    <w:rsid w:val="00053166"/>
    <w:rsid w:val="000641A9"/>
    <w:rsid w:val="00090E5B"/>
    <w:rsid w:val="000B41F6"/>
    <w:rsid w:val="000B6D00"/>
    <w:rsid w:val="000B7B4F"/>
    <w:rsid w:val="000C3331"/>
    <w:rsid w:val="000D1EF6"/>
    <w:rsid w:val="000D6A97"/>
    <w:rsid w:val="000E2545"/>
    <w:rsid w:val="000E51DC"/>
    <w:rsid w:val="000E6E9C"/>
    <w:rsid w:val="000F0382"/>
    <w:rsid w:val="000F1BE5"/>
    <w:rsid w:val="000F5803"/>
    <w:rsid w:val="00110EFB"/>
    <w:rsid w:val="001114F3"/>
    <w:rsid w:val="00111DE9"/>
    <w:rsid w:val="00143FC1"/>
    <w:rsid w:val="00144426"/>
    <w:rsid w:val="001511DE"/>
    <w:rsid w:val="00151A87"/>
    <w:rsid w:val="00173FFC"/>
    <w:rsid w:val="00180CFA"/>
    <w:rsid w:val="001819FE"/>
    <w:rsid w:val="0018548C"/>
    <w:rsid w:val="00194FB0"/>
    <w:rsid w:val="001A1739"/>
    <w:rsid w:val="001A718F"/>
    <w:rsid w:val="001B4FD1"/>
    <w:rsid w:val="001B728D"/>
    <w:rsid w:val="001C3B9C"/>
    <w:rsid w:val="001D0839"/>
    <w:rsid w:val="001D29B2"/>
    <w:rsid w:val="001F471C"/>
    <w:rsid w:val="001F56AE"/>
    <w:rsid w:val="001F75D9"/>
    <w:rsid w:val="0021379B"/>
    <w:rsid w:val="0022203C"/>
    <w:rsid w:val="00223CD4"/>
    <w:rsid w:val="00225B87"/>
    <w:rsid w:val="0024022A"/>
    <w:rsid w:val="002419D3"/>
    <w:rsid w:val="00252C50"/>
    <w:rsid w:val="002556CE"/>
    <w:rsid w:val="00265104"/>
    <w:rsid w:val="002655B5"/>
    <w:rsid w:val="00267ADA"/>
    <w:rsid w:val="00272204"/>
    <w:rsid w:val="00280052"/>
    <w:rsid w:val="00286CE3"/>
    <w:rsid w:val="002A1927"/>
    <w:rsid w:val="002A619B"/>
    <w:rsid w:val="002A795B"/>
    <w:rsid w:val="002C1A21"/>
    <w:rsid w:val="002C44C2"/>
    <w:rsid w:val="002D220D"/>
    <w:rsid w:val="002E18BF"/>
    <w:rsid w:val="002E4D1E"/>
    <w:rsid w:val="002E588A"/>
    <w:rsid w:val="002F001E"/>
    <w:rsid w:val="00304640"/>
    <w:rsid w:val="00336096"/>
    <w:rsid w:val="0035764C"/>
    <w:rsid w:val="00364A30"/>
    <w:rsid w:val="00380CE7"/>
    <w:rsid w:val="00391395"/>
    <w:rsid w:val="00394308"/>
    <w:rsid w:val="00394600"/>
    <w:rsid w:val="003B1A85"/>
    <w:rsid w:val="003D63E4"/>
    <w:rsid w:val="003D7D49"/>
    <w:rsid w:val="003F627F"/>
    <w:rsid w:val="00421955"/>
    <w:rsid w:val="00421E0A"/>
    <w:rsid w:val="00437656"/>
    <w:rsid w:val="0045569F"/>
    <w:rsid w:val="004A0C9D"/>
    <w:rsid w:val="004B699A"/>
    <w:rsid w:val="004C6ADB"/>
    <w:rsid w:val="004D24E6"/>
    <w:rsid w:val="00505024"/>
    <w:rsid w:val="005215FB"/>
    <w:rsid w:val="00522AFB"/>
    <w:rsid w:val="00524B84"/>
    <w:rsid w:val="0053395B"/>
    <w:rsid w:val="0053725E"/>
    <w:rsid w:val="00537EA3"/>
    <w:rsid w:val="00564F33"/>
    <w:rsid w:val="00573468"/>
    <w:rsid w:val="00574FF2"/>
    <w:rsid w:val="00583AE6"/>
    <w:rsid w:val="00591237"/>
    <w:rsid w:val="005912DE"/>
    <w:rsid w:val="0059207A"/>
    <w:rsid w:val="00592CDB"/>
    <w:rsid w:val="005A721D"/>
    <w:rsid w:val="005B3D44"/>
    <w:rsid w:val="005E2EDD"/>
    <w:rsid w:val="005E7E85"/>
    <w:rsid w:val="0060459A"/>
    <w:rsid w:val="00613847"/>
    <w:rsid w:val="00614446"/>
    <w:rsid w:val="00615909"/>
    <w:rsid w:val="00621D04"/>
    <w:rsid w:val="00622A30"/>
    <w:rsid w:val="0062419A"/>
    <w:rsid w:val="00625F24"/>
    <w:rsid w:val="00631537"/>
    <w:rsid w:val="00635A1F"/>
    <w:rsid w:val="00642087"/>
    <w:rsid w:val="00644C4A"/>
    <w:rsid w:val="00646425"/>
    <w:rsid w:val="006470FF"/>
    <w:rsid w:val="0065496A"/>
    <w:rsid w:val="00662438"/>
    <w:rsid w:val="006646F2"/>
    <w:rsid w:val="00664974"/>
    <w:rsid w:val="00680E51"/>
    <w:rsid w:val="006A1551"/>
    <w:rsid w:val="006A3B07"/>
    <w:rsid w:val="006D3539"/>
    <w:rsid w:val="006E2D10"/>
    <w:rsid w:val="006E5C1E"/>
    <w:rsid w:val="007110E2"/>
    <w:rsid w:val="00711682"/>
    <w:rsid w:val="0073324B"/>
    <w:rsid w:val="00745D15"/>
    <w:rsid w:val="007512F9"/>
    <w:rsid w:val="0077213A"/>
    <w:rsid w:val="007B05CA"/>
    <w:rsid w:val="007C0C03"/>
    <w:rsid w:val="007E360F"/>
    <w:rsid w:val="007F3D4E"/>
    <w:rsid w:val="00816D09"/>
    <w:rsid w:val="0082301F"/>
    <w:rsid w:val="008263A2"/>
    <w:rsid w:val="0084067A"/>
    <w:rsid w:val="00840717"/>
    <w:rsid w:val="008450FE"/>
    <w:rsid w:val="008637B0"/>
    <w:rsid w:val="008716BD"/>
    <w:rsid w:val="008805AA"/>
    <w:rsid w:val="008C09B3"/>
    <w:rsid w:val="008C2227"/>
    <w:rsid w:val="008D09D8"/>
    <w:rsid w:val="008E2E7A"/>
    <w:rsid w:val="008E4D47"/>
    <w:rsid w:val="00922AF0"/>
    <w:rsid w:val="00945FAC"/>
    <w:rsid w:val="0095743C"/>
    <w:rsid w:val="00966F3B"/>
    <w:rsid w:val="00973779"/>
    <w:rsid w:val="009819CA"/>
    <w:rsid w:val="009839D0"/>
    <w:rsid w:val="00984B63"/>
    <w:rsid w:val="00985A43"/>
    <w:rsid w:val="009905EF"/>
    <w:rsid w:val="0099165F"/>
    <w:rsid w:val="00993780"/>
    <w:rsid w:val="00993C07"/>
    <w:rsid w:val="009B19E5"/>
    <w:rsid w:val="009D39D6"/>
    <w:rsid w:val="009E40EB"/>
    <w:rsid w:val="009F114C"/>
    <w:rsid w:val="009F6387"/>
    <w:rsid w:val="00A04433"/>
    <w:rsid w:val="00A07C8A"/>
    <w:rsid w:val="00A07FC3"/>
    <w:rsid w:val="00A22E95"/>
    <w:rsid w:val="00A24E76"/>
    <w:rsid w:val="00A25431"/>
    <w:rsid w:val="00A30501"/>
    <w:rsid w:val="00A339D9"/>
    <w:rsid w:val="00A36B75"/>
    <w:rsid w:val="00A44472"/>
    <w:rsid w:val="00A513B2"/>
    <w:rsid w:val="00A75685"/>
    <w:rsid w:val="00A76E3E"/>
    <w:rsid w:val="00A83B87"/>
    <w:rsid w:val="00A841E9"/>
    <w:rsid w:val="00A87529"/>
    <w:rsid w:val="00AA1028"/>
    <w:rsid w:val="00AA7C44"/>
    <w:rsid w:val="00B12E90"/>
    <w:rsid w:val="00B157E7"/>
    <w:rsid w:val="00B23F61"/>
    <w:rsid w:val="00B33964"/>
    <w:rsid w:val="00B42293"/>
    <w:rsid w:val="00B422EE"/>
    <w:rsid w:val="00B4599B"/>
    <w:rsid w:val="00B56603"/>
    <w:rsid w:val="00B7156A"/>
    <w:rsid w:val="00B7558E"/>
    <w:rsid w:val="00B93026"/>
    <w:rsid w:val="00BB0C56"/>
    <w:rsid w:val="00BB5C78"/>
    <w:rsid w:val="00BB68CE"/>
    <w:rsid w:val="00BD1D7A"/>
    <w:rsid w:val="00BF3358"/>
    <w:rsid w:val="00C02625"/>
    <w:rsid w:val="00C3061E"/>
    <w:rsid w:val="00C444D5"/>
    <w:rsid w:val="00C64BCC"/>
    <w:rsid w:val="00C64F0F"/>
    <w:rsid w:val="00C72B6E"/>
    <w:rsid w:val="00C8471D"/>
    <w:rsid w:val="00C92796"/>
    <w:rsid w:val="00C963DB"/>
    <w:rsid w:val="00CB074F"/>
    <w:rsid w:val="00CD7DEF"/>
    <w:rsid w:val="00CE2C9B"/>
    <w:rsid w:val="00D025FD"/>
    <w:rsid w:val="00D02AD6"/>
    <w:rsid w:val="00D03D11"/>
    <w:rsid w:val="00D430C1"/>
    <w:rsid w:val="00D444BD"/>
    <w:rsid w:val="00D446E6"/>
    <w:rsid w:val="00D44B10"/>
    <w:rsid w:val="00D53915"/>
    <w:rsid w:val="00D603DD"/>
    <w:rsid w:val="00D71DB5"/>
    <w:rsid w:val="00D72BE4"/>
    <w:rsid w:val="00D93572"/>
    <w:rsid w:val="00DA24B6"/>
    <w:rsid w:val="00DA5AA5"/>
    <w:rsid w:val="00DA7E67"/>
    <w:rsid w:val="00DC63EC"/>
    <w:rsid w:val="00DD43EF"/>
    <w:rsid w:val="00DE2F07"/>
    <w:rsid w:val="00E21191"/>
    <w:rsid w:val="00E23586"/>
    <w:rsid w:val="00E329B8"/>
    <w:rsid w:val="00E52A8A"/>
    <w:rsid w:val="00E55E6A"/>
    <w:rsid w:val="00E63DE2"/>
    <w:rsid w:val="00E716A3"/>
    <w:rsid w:val="00E7586C"/>
    <w:rsid w:val="00E827D8"/>
    <w:rsid w:val="00EB3740"/>
    <w:rsid w:val="00EB7B49"/>
    <w:rsid w:val="00ED0BAF"/>
    <w:rsid w:val="00ED1EBE"/>
    <w:rsid w:val="00ED5C46"/>
    <w:rsid w:val="00F06505"/>
    <w:rsid w:val="00F1320B"/>
    <w:rsid w:val="00F2065E"/>
    <w:rsid w:val="00F25751"/>
    <w:rsid w:val="00F36C88"/>
    <w:rsid w:val="00F473E1"/>
    <w:rsid w:val="00F90590"/>
    <w:rsid w:val="00FA04BB"/>
    <w:rsid w:val="00FA3CEA"/>
    <w:rsid w:val="00FB7EBC"/>
    <w:rsid w:val="00FC6130"/>
    <w:rsid w:val="00FE37EB"/>
    <w:rsid w:val="00FE72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3A"/>
  </w:style>
  <w:style w:type="paragraph" w:styleId="1">
    <w:name w:val="heading 1"/>
    <w:basedOn w:val="a"/>
    <w:link w:val="10"/>
    <w:uiPriority w:val="9"/>
    <w:qFormat/>
    <w:rsid w:val="00D02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5F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025FD"/>
    <w:rPr>
      <w:b/>
      <w:bCs/>
    </w:rPr>
  </w:style>
  <w:style w:type="paragraph" w:styleId="a4">
    <w:name w:val="Normal (Web)"/>
    <w:basedOn w:val="a"/>
    <w:uiPriority w:val="99"/>
    <w:semiHidden/>
    <w:unhideWhenUsed/>
    <w:rsid w:val="00D025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D025FD"/>
    <w:rPr>
      <w:color w:val="0000FF"/>
      <w:u w:val="single"/>
    </w:rPr>
  </w:style>
  <w:style w:type="paragraph" w:styleId="a6">
    <w:name w:val="Balloon Text"/>
    <w:basedOn w:val="a"/>
    <w:link w:val="a7"/>
    <w:uiPriority w:val="99"/>
    <w:semiHidden/>
    <w:unhideWhenUsed/>
    <w:rsid w:val="002C1A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A21"/>
    <w:rPr>
      <w:rFonts w:ascii="Tahoma" w:hAnsi="Tahoma" w:cs="Tahoma"/>
      <w:sz w:val="16"/>
      <w:szCs w:val="16"/>
    </w:rPr>
  </w:style>
  <w:style w:type="paragraph" w:styleId="a8">
    <w:name w:val="header"/>
    <w:basedOn w:val="a"/>
    <w:link w:val="a9"/>
    <w:uiPriority w:val="99"/>
    <w:unhideWhenUsed/>
    <w:rsid w:val="008C09B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C09B3"/>
  </w:style>
  <w:style w:type="paragraph" w:styleId="aa">
    <w:name w:val="footer"/>
    <w:basedOn w:val="a"/>
    <w:link w:val="ab"/>
    <w:uiPriority w:val="99"/>
    <w:semiHidden/>
    <w:unhideWhenUsed/>
    <w:rsid w:val="008C09B3"/>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8C09B3"/>
  </w:style>
  <w:style w:type="character" w:styleId="ac">
    <w:name w:val="FollowedHyperlink"/>
    <w:basedOn w:val="a0"/>
    <w:uiPriority w:val="99"/>
    <w:semiHidden/>
    <w:unhideWhenUsed/>
    <w:rsid w:val="0035764C"/>
    <w:rPr>
      <w:color w:val="954F72" w:themeColor="followedHyperlink"/>
      <w:u w:val="single"/>
    </w:rPr>
  </w:style>
  <w:style w:type="paragraph" w:styleId="ad">
    <w:name w:val="List Paragraph"/>
    <w:basedOn w:val="a"/>
    <w:uiPriority w:val="34"/>
    <w:qFormat/>
    <w:rsid w:val="00380CE7"/>
    <w:pPr>
      <w:ind w:left="720"/>
      <w:contextualSpacing/>
    </w:pPr>
  </w:style>
  <w:style w:type="character" w:customStyle="1" w:styleId="2">
    <w:name w:val="Основной текст (2)_"/>
    <w:basedOn w:val="a0"/>
    <w:link w:val="20"/>
    <w:rsid w:val="00A75685"/>
    <w:rPr>
      <w:rFonts w:ascii="Microsoft Sans Serif" w:eastAsia="Microsoft Sans Serif" w:hAnsi="Microsoft Sans Serif" w:cs="Microsoft Sans Serif"/>
      <w:sz w:val="58"/>
      <w:szCs w:val="58"/>
      <w:shd w:val="clear" w:color="auto" w:fill="FFFFFF"/>
    </w:rPr>
  </w:style>
  <w:style w:type="paragraph" w:customStyle="1" w:styleId="20">
    <w:name w:val="Основной текст (2)"/>
    <w:basedOn w:val="a"/>
    <w:link w:val="2"/>
    <w:rsid w:val="00A75685"/>
    <w:pPr>
      <w:widowControl w:val="0"/>
      <w:shd w:val="clear" w:color="auto" w:fill="FFFFFF"/>
      <w:spacing w:after="740" w:line="750" w:lineRule="exact"/>
    </w:pPr>
    <w:rPr>
      <w:rFonts w:ascii="Microsoft Sans Serif" w:eastAsia="Microsoft Sans Serif" w:hAnsi="Microsoft Sans Serif" w:cs="Microsoft Sans Serif"/>
      <w:sz w:val="58"/>
      <w:szCs w:val="58"/>
    </w:rPr>
  </w:style>
  <w:style w:type="paragraph" w:styleId="ae">
    <w:name w:val="No Spacing"/>
    <w:uiPriority w:val="1"/>
    <w:qFormat/>
    <w:rsid w:val="009F114C"/>
    <w:pPr>
      <w:spacing w:after="0" w:line="240" w:lineRule="auto"/>
    </w:pPr>
    <w:rPr>
      <w:rFonts w:ascii="Times New Roman" w:eastAsia="Times New Roman" w:hAnsi="Times New Roman" w:cs="Times New Roman"/>
      <w:sz w:val="24"/>
      <w:szCs w:val="24"/>
      <w:lang w:eastAsia="ru-RU"/>
    </w:rPr>
  </w:style>
  <w:style w:type="character" w:customStyle="1" w:styleId="21">
    <w:name w:val="Знак Знак2"/>
    <w:basedOn w:val="a0"/>
    <w:rsid w:val="00973779"/>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6837">
      <w:bodyDiv w:val="1"/>
      <w:marLeft w:val="0"/>
      <w:marRight w:val="0"/>
      <w:marTop w:val="0"/>
      <w:marBottom w:val="0"/>
      <w:divBdr>
        <w:top w:val="none" w:sz="0" w:space="0" w:color="auto"/>
        <w:left w:val="none" w:sz="0" w:space="0" w:color="auto"/>
        <w:bottom w:val="none" w:sz="0" w:space="0" w:color="auto"/>
        <w:right w:val="none" w:sz="0" w:space="0" w:color="auto"/>
      </w:divBdr>
    </w:div>
    <w:div w:id="984967362">
      <w:bodyDiv w:val="1"/>
      <w:marLeft w:val="0"/>
      <w:marRight w:val="0"/>
      <w:marTop w:val="0"/>
      <w:marBottom w:val="0"/>
      <w:divBdr>
        <w:top w:val="none" w:sz="0" w:space="0" w:color="auto"/>
        <w:left w:val="none" w:sz="0" w:space="0" w:color="auto"/>
        <w:bottom w:val="none" w:sz="0" w:space="0" w:color="auto"/>
        <w:right w:val="none" w:sz="0" w:space="0" w:color="auto"/>
      </w:divBdr>
      <w:divsChild>
        <w:div w:id="75448033">
          <w:marLeft w:val="0"/>
          <w:marRight w:val="0"/>
          <w:marTop w:val="0"/>
          <w:marBottom w:val="0"/>
          <w:divBdr>
            <w:top w:val="none" w:sz="0" w:space="0" w:color="auto"/>
            <w:left w:val="none" w:sz="0" w:space="0" w:color="auto"/>
            <w:bottom w:val="none" w:sz="0" w:space="0" w:color="auto"/>
            <w:right w:val="none" w:sz="0" w:space="0" w:color="auto"/>
          </w:divBdr>
        </w:div>
        <w:div w:id="1937909007">
          <w:marLeft w:val="0"/>
          <w:marRight w:val="0"/>
          <w:marTop w:val="0"/>
          <w:marBottom w:val="450"/>
          <w:divBdr>
            <w:top w:val="none" w:sz="0" w:space="0" w:color="auto"/>
            <w:left w:val="none" w:sz="0" w:space="0" w:color="auto"/>
            <w:bottom w:val="none" w:sz="0" w:space="0" w:color="auto"/>
            <w:right w:val="none" w:sz="0" w:space="0" w:color="auto"/>
          </w:divBdr>
          <w:divsChild>
            <w:div w:id="167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ir.tax.gov.ua/main/bz/view/?src=ques&amp;id=349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r.tax.gov.ua/main/bz/view/?src=ques&amp;id=3975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ir.tax.gov.ua/main/bz/view/?src=ques&amp;id=28081" TargetMode="External"/><Relationship Id="rId4" Type="http://schemas.openxmlformats.org/officeDocument/2006/relationships/settings" Target="settings.xml"/><Relationship Id="rId9" Type="http://schemas.openxmlformats.org/officeDocument/2006/relationships/hyperlink" Target="https://zir.tax.gov.ua/main/bz/view/?src=ques&amp;id=4388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03DE1-0347-4EF7-99C9-ADC9066C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10177</Words>
  <Characters>5801</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Судніков Євген Миколайович</cp:lastModifiedBy>
  <cp:revision>9</cp:revision>
  <cp:lastPrinted>2024-10-31T08:03:00Z</cp:lastPrinted>
  <dcterms:created xsi:type="dcterms:W3CDTF">2026-03-30T05:26:00Z</dcterms:created>
  <dcterms:modified xsi:type="dcterms:W3CDTF">2026-07-01T05:46:00Z</dcterms:modified>
</cp:coreProperties>
</file>