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65D93">
      <w:pPr>
        <w:rPr>
          <w:rFonts w:ascii="e-Ukraine" w:hAnsi="e-Ukraine" w:cs="e-Ukraine"/>
        </w:rPr>
      </w:pPr>
      <w:r w:rsidRPr="00965D9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965D9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8368FF" w:rsidRPr="008941E8" w:rsidRDefault="008368FF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368FF" w:rsidRPr="00534D03" w:rsidRDefault="008368F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8368FF" w:rsidRPr="008941E8" w:rsidRDefault="008368F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8368FF" w:rsidRPr="008941E8" w:rsidRDefault="008368FF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965D93">
      <w:pPr>
        <w:rPr>
          <w:rFonts w:ascii="e-Ukraine" w:hAnsi="e-Ukraine" w:cs="e-Ukraine"/>
        </w:rPr>
      </w:pPr>
      <w:r w:rsidRPr="00965D9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965D93">
      <w:pPr>
        <w:rPr>
          <w:rFonts w:ascii="e-Ukraine" w:hAnsi="e-Ukraine" w:cs="e-Ukraine"/>
        </w:rPr>
      </w:pPr>
      <w:r w:rsidRPr="00965D93">
        <w:rPr>
          <w:noProof/>
          <w:lang w:val="ru-RU" w:eastAsia="ru-RU"/>
        </w:rPr>
        <w:pict>
          <v:shape id="Поле 8" o:spid="_x0000_s1029" type="#_x0000_t202" style="position:absolute;margin-left:-4.8pt;margin-top:21pt;width:342pt;height:74.35pt;z-index:251657728;visibility:visible;v-text-anchor:middle" filled="f" stroked="f" strokeweight=".5pt">
            <v:textbox style="mso-next-textbox:#Поле 8">
              <w:txbxContent>
                <w:p w:rsidR="008368FF" w:rsidRPr="00A64098" w:rsidRDefault="008368FF" w:rsidP="00B9677E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A640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Податковий </w:t>
                  </w:r>
                  <w:proofErr w:type="spellStart"/>
                  <w:r w:rsidRPr="00A640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комплаєнс</w:t>
                  </w:r>
                  <w:proofErr w:type="spellEnd"/>
                  <w:r w:rsidRPr="00A64098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:                                   акцент – на добровільному дотриманні законодавства</w:t>
                  </w:r>
                </w:p>
                <w:p w:rsidR="008368FF" w:rsidRPr="00A64098" w:rsidRDefault="008368FF" w:rsidP="00B9677E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  <w:lang w:val="uk-UA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965D9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65D93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15pt;width:190pt;height:26.35pt;z-index:251656704;visibility:visible" filled="f" stroked="f" strokeweight=".5pt">
            <v:textbox style="mso-next-textbox:#Поле 9">
              <w:txbxContent>
                <w:p w:rsidR="008368FF" w:rsidRPr="00B67529" w:rsidRDefault="008368F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8368FF" w:rsidRDefault="008368FF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8368FF" w:rsidRPr="00026C80" w:rsidRDefault="008368FF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E1C66" w:rsidRDefault="00AE1C66" w:rsidP="00AE1C66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9677E" w:rsidRPr="008368FF" w:rsidRDefault="00B23C1D" w:rsidP="00AE1C66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368FF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8368FF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8368FF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8368FF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8368FF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B9677E" w:rsidRPr="008368FF">
        <w:rPr>
          <w:rFonts w:ascii="Arial" w:hAnsi="Arial" w:cs="Arial"/>
          <w:sz w:val="26"/>
          <w:szCs w:val="26"/>
          <w:lang w:eastAsia="ru-RU"/>
        </w:rPr>
        <w:t xml:space="preserve">повідомляє. </w:t>
      </w:r>
    </w:p>
    <w:p w:rsidR="00B9677E" w:rsidRPr="008368FF" w:rsidRDefault="00B9677E" w:rsidP="00AE1C66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368FF">
        <w:rPr>
          <w:rFonts w:ascii="Arial" w:hAnsi="Arial" w:cs="Arial"/>
          <w:sz w:val="26"/>
          <w:szCs w:val="26"/>
          <w:lang w:eastAsia="ru-RU"/>
        </w:rPr>
        <w:t xml:space="preserve">Державна податкова служба активно трансформує підходи до роботи, зміщуючи акцент на податковий </w:t>
      </w:r>
      <w:proofErr w:type="spellStart"/>
      <w:r w:rsidRPr="008368FF">
        <w:rPr>
          <w:rFonts w:ascii="Arial" w:hAnsi="Arial" w:cs="Arial"/>
          <w:sz w:val="26"/>
          <w:szCs w:val="26"/>
          <w:lang w:eastAsia="ru-RU"/>
        </w:rPr>
        <w:t>комплаєнс</w:t>
      </w:r>
      <w:proofErr w:type="spellEnd"/>
      <w:r w:rsidRPr="008368FF">
        <w:rPr>
          <w:rFonts w:ascii="Arial" w:hAnsi="Arial" w:cs="Arial"/>
          <w:sz w:val="26"/>
          <w:szCs w:val="26"/>
          <w:lang w:eastAsia="ru-RU"/>
        </w:rPr>
        <w:t xml:space="preserve">. Це сучасна модель взаємодії, яка базується на випереджувальному управлінні ризиками, прозорому діалозі та підтримці платників у виконанні їхніх обов’язків. </w:t>
      </w:r>
    </w:p>
    <w:p w:rsidR="00B9677E" w:rsidRPr="008368FF" w:rsidRDefault="00B9677E" w:rsidP="00AE1C66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368FF">
        <w:rPr>
          <w:rFonts w:ascii="Arial" w:hAnsi="Arial" w:cs="Arial"/>
          <w:b/>
          <w:bCs/>
          <w:sz w:val="26"/>
          <w:szCs w:val="26"/>
          <w:lang w:eastAsia="ru-RU"/>
        </w:rPr>
        <w:t>Що вже зроблено в інституційній площині:</w:t>
      </w:r>
      <w:r w:rsidRPr="008368FF">
        <w:rPr>
          <w:rFonts w:ascii="Arial" w:hAnsi="Arial" w:cs="Arial"/>
          <w:sz w:val="26"/>
          <w:szCs w:val="26"/>
          <w:lang w:eastAsia="ru-RU"/>
        </w:rPr>
        <w:t xml:space="preserve"> </w:t>
      </w:r>
    </w:p>
    <w:p w:rsidR="00B9677E" w:rsidRPr="008368FF" w:rsidRDefault="00B9677E" w:rsidP="00AE1C66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368FF">
        <w:rPr>
          <w:rFonts w:ascii="Arial" w:hAnsi="Arial" w:cs="Arial"/>
          <w:sz w:val="26"/>
          <w:szCs w:val="26"/>
          <w:lang w:eastAsia="ru-RU"/>
        </w:rPr>
        <w:t xml:space="preserve">- створено організаційний механізм управління податковими ризиками, зокрема Експертну комісію із застосування системи управління податковими ризиками; </w:t>
      </w:r>
    </w:p>
    <w:p w:rsidR="00B9677E" w:rsidRPr="008368FF" w:rsidRDefault="00B9677E" w:rsidP="00AE1C66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368FF">
        <w:rPr>
          <w:rFonts w:ascii="Arial" w:hAnsi="Arial" w:cs="Arial"/>
          <w:sz w:val="26"/>
          <w:szCs w:val="26"/>
          <w:lang w:eastAsia="ru-RU"/>
        </w:rPr>
        <w:t>- стандартизовано методологію управління податковими ризиками (</w:t>
      </w:r>
      <w:proofErr w:type="spellStart"/>
      <w:r w:rsidRPr="008368FF">
        <w:rPr>
          <w:rFonts w:ascii="Arial" w:hAnsi="Arial" w:cs="Arial"/>
          <w:sz w:val="26"/>
          <w:szCs w:val="26"/>
          <w:lang w:eastAsia="ru-RU"/>
        </w:rPr>
        <w:t>комплаєнс-ризиками</w:t>
      </w:r>
      <w:proofErr w:type="spellEnd"/>
      <w:r w:rsidRPr="008368FF">
        <w:rPr>
          <w:rFonts w:ascii="Arial" w:hAnsi="Arial" w:cs="Arial"/>
          <w:sz w:val="26"/>
          <w:szCs w:val="26"/>
          <w:lang w:eastAsia="ru-RU"/>
        </w:rPr>
        <w:t xml:space="preserve">); </w:t>
      </w:r>
    </w:p>
    <w:p w:rsidR="00B9677E" w:rsidRPr="008368FF" w:rsidRDefault="00B9677E" w:rsidP="00AE1C66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368FF">
        <w:rPr>
          <w:rFonts w:ascii="Arial" w:hAnsi="Arial" w:cs="Arial"/>
          <w:sz w:val="26"/>
          <w:szCs w:val="26"/>
          <w:lang w:eastAsia="ru-RU"/>
        </w:rPr>
        <w:t xml:space="preserve">- сформовано профілі податкових ризиків; </w:t>
      </w:r>
    </w:p>
    <w:p w:rsidR="00B9677E" w:rsidRPr="008368FF" w:rsidRDefault="00B9677E" w:rsidP="00AE1C66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368FF">
        <w:rPr>
          <w:rFonts w:ascii="Arial" w:hAnsi="Arial" w:cs="Arial"/>
          <w:sz w:val="26"/>
          <w:szCs w:val="26"/>
          <w:lang w:eastAsia="ru-RU"/>
        </w:rPr>
        <w:t xml:space="preserve">- розроблено базові аналітичні інструменти роботи з даними податкової та фінансової звітності платників. </w:t>
      </w:r>
    </w:p>
    <w:p w:rsidR="00B9677E" w:rsidRPr="008368FF" w:rsidRDefault="00B9677E" w:rsidP="00AE1C66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368FF">
        <w:rPr>
          <w:rFonts w:ascii="Arial" w:hAnsi="Arial" w:cs="Arial"/>
          <w:sz w:val="26"/>
          <w:szCs w:val="26"/>
          <w:lang w:eastAsia="ru-RU"/>
        </w:rPr>
        <w:t xml:space="preserve">2026 рік – черговий етап інтеграції системи управління податковими ризиками. За результатами експерименту буде надано оцінку впливу </w:t>
      </w:r>
      <w:proofErr w:type="spellStart"/>
      <w:r w:rsidRPr="008368FF">
        <w:rPr>
          <w:rFonts w:ascii="Arial" w:hAnsi="Arial" w:cs="Arial"/>
          <w:sz w:val="26"/>
          <w:szCs w:val="26"/>
          <w:lang w:eastAsia="ru-RU"/>
        </w:rPr>
        <w:t>комплаєнсу</w:t>
      </w:r>
      <w:proofErr w:type="spellEnd"/>
      <w:r w:rsidRPr="008368FF">
        <w:rPr>
          <w:rFonts w:ascii="Arial" w:hAnsi="Arial" w:cs="Arial"/>
          <w:sz w:val="26"/>
          <w:szCs w:val="26"/>
          <w:lang w:eastAsia="ru-RU"/>
        </w:rPr>
        <w:t xml:space="preserve"> та підготовлено пропозиції щодо законодавчих змін. До 2030 року управління податковими ризиками має стати стандартом роботи ДПС, інтегрованим у всі управлінські цикли. </w:t>
      </w:r>
    </w:p>
    <w:p w:rsidR="00B9677E" w:rsidRPr="008368FF" w:rsidRDefault="00B9677E" w:rsidP="00AE1C66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368FF">
        <w:rPr>
          <w:rFonts w:ascii="Arial" w:hAnsi="Arial" w:cs="Arial"/>
          <w:sz w:val="26"/>
          <w:szCs w:val="26"/>
          <w:lang w:eastAsia="ru-RU"/>
        </w:rPr>
        <w:t xml:space="preserve">ДПС послідовно обирає шлях діалогу: роз’яснення, консультації та підтримка. </w:t>
      </w:r>
    </w:p>
    <w:p w:rsidR="00B9677E" w:rsidRPr="008368FF" w:rsidRDefault="00B9677E" w:rsidP="00AE1C66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8368FF">
        <w:rPr>
          <w:rFonts w:ascii="Arial" w:hAnsi="Arial" w:cs="Arial"/>
          <w:sz w:val="26"/>
          <w:szCs w:val="26"/>
          <w:lang w:eastAsia="ru-RU"/>
        </w:rPr>
        <w:t xml:space="preserve">Мета – реальний податковий </w:t>
      </w:r>
      <w:proofErr w:type="spellStart"/>
      <w:r w:rsidRPr="008368FF">
        <w:rPr>
          <w:rFonts w:ascii="Arial" w:hAnsi="Arial" w:cs="Arial"/>
          <w:sz w:val="26"/>
          <w:szCs w:val="26"/>
          <w:lang w:eastAsia="ru-RU"/>
        </w:rPr>
        <w:t>комплаєнс</w:t>
      </w:r>
      <w:proofErr w:type="spellEnd"/>
      <w:r w:rsidRPr="008368FF">
        <w:rPr>
          <w:rFonts w:ascii="Arial" w:hAnsi="Arial" w:cs="Arial"/>
          <w:sz w:val="26"/>
          <w:szCs w:val="26"/>
          <w:lang w:eastAsia="ru-RU"/>
        </w:rPr>
        <w:t xml:space="preserve">, де своєчасні розрахунки з бюджетом є результатом партнерства між державою та бізнесом. </w:t>
      </w:r>
    </w:p>
    <w:p w:rsidR="00B9677E" w:rsidRPr="00AE1C66" w:rsidRDefault="00B9677E" w:rsidP="00AE1C66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val="ru-RU" w:eastAsia="ru-RU"/>
        </w:rPr>
      </w:pPr>
      <w:r w:rsidRPr="008368FF">
        <w:rPr>
          <w:rFonts w:ascii="Arial" w:hAnsi="Arial" w:cs="Arial"/>
          <w:sz w:val="26"/>
          <w:szCs w:val="26"/>
          <w:lang w:eastAsia="ru-RU"/>
        </w:rPr>
        <w:t>Нагадуємо, що згідно із постановою Кабінету</w:t>
      </w:r>
      <w:r w:rsidR="00A64098">
        <w:rPr>
          <w:rFonts w:ascii="Arial" w:hAnsi="Arial" w:cs="Arial"/>
          <w:sz w:val="26"/>
          <w:szCs w:val="26"/>
          <w:lang w:eastAsia="ru-RU"/>
        </w:rPr>
        <w:t xml:space="preserve"> Міністрів України від 27 липня </w:t>
      </w:r>
      <w:r w:rsidRPr="008368FF">
        <w:rPr>
          <w:rFonts w:ascii="Arial" w:hAnsi="Arial" w:cs="Arial"/>
          <w:sz w:val="26"/>
          <w:szCs w:val="26"/>
          <w:lang w:eastAsia="ru-RU"/>
        </w:rPr>
        <w:t xml:space="preserve">2024 року № 854 «Про реалізацію експериментального </w:t>
      </w:r>
      <w:proofErr w:type="spellStart"/>
      <w:r w:rsidRPr="008368FF">
        <w:rPr>
          <w:rFonts w:ascii="Arial" w:hAnsi="Arial" w:cs="Arial"/>
          <w:sz w:val="26"/>
          <w:szCs w:val="26"/>
          <w:lang w:eastAsia="ru-RU"/>
        </w:rPr>
        <w:t>проєкту</w:t>
      </w:r>
      <w:proofErr w:type="spellEnd"/>
      <w:r w:rsidRPr="008368FF">
        <w:rPr>
          <w:rFonts w:ascii="Arial" w:hAnsi="Arial" w:cs="Arial"/>
          <w:sz w:val="26"/>
          <w:szCs w:val="26"/>
          <w:lang w:eastAsia="ru-RU"/>
        </w:rPr>
        <w:t xml:space="preserve"> щодо функціонування системи управління податковими ризиками (</w:t>
      </w:r>
      <w:proofErr w:type="spellStart"/>
      <w:r w:rsidRPr="008368FF">
        <w:rPr>
          <w:rFonts w:ascii="Arial" w:hAnsi="Arial" w:cs="Arial"/>
          <w:sz w:val="26"/>
          <w:szCs w:val="26"/>
          <w:lang w:eastAsia="ru-RU"/>
        </w:rPr>
        <w:t>комплаєнс-ризиками</w:t>
      </w:r>
      <w:proofErr w:type="spellEnd"/>
      <w:r w:rsidRPr="008368FF">
        <w:rPr>
          <w:rFonts w:ascii="Arial" w:hAnsi="Arial" w:cs="Arial"/>
          <w:sz w:val="26"/>
          <w:szCs w:val="26"/>
          <w:lang w:eastAsia="ru-RU"/>
        </w:rPr>
        <w:t xml:space="preserve">) в Державній податковій службі» в Україні впроваджено масштабний експериментальний </w:t>
      </w:r>
      <w:proofErr w:type="spellStart"/>
      <w:r w:rsidRPr="008368FF">
        <w:rPr>
          <w:rFonts w:ascii="Arial" w:hAnsi="Arial" w:cs="Arial"/>
          <w:sz w:val="26"/>
          <w:szCs w:val="26"/>
          <w:lang w:eastAsia="ru-RU"/>
        </w:rPr>
        <w:t>проєкт</w:t>
      </w:r>
      <w:proofErr w:type="spellEnd"/>
      <w:r w:rsidRPr="008368FF">
        <w:rPr>
          <w:rFonts w:ascii="Arial" w:hAnsi="Arial" w:cs="Arial"/>
          <w:sz w:val="26"/>
          <w:szCs w:val="26"/>
          <w:lang w:eastAsia="ru-RU"/>
        </w:rPr>
        <w:t xml:space="preserve"> із ризик-орієнтованого податкового адміністрування. Ця ініціатива є ключовою частиною Національної стратегії доходів до 2030 року, що має на меті створення прозорого середовища для бізнесу.</w:t>
      </w:r>
      <w:r w:rsidRPr="00AE1C66">
        <w:rPr>
          <w:rFonts w:ascii="Arial" w:hAnsi="Arial" w:cs="Arial"/>
          <w:sz w:val="26"/>
          <w:szCs w:val="26"/>
          <w:lang w:val="ru-RU" w:eastAsia="ru-RU"/>
        </w:rPr>
        <w:t xml:space="preserve"> </w:t>
      </w:r>
    </w:p>
    <w:p w:rsidR="00050567" w:rsidRPr="00B9677E" w:rsidRDefault="00050567" w:rsidP="00B9677E">
      <w:pPr>
        <w:pStyle w:val="a3"/>
        <w:spacing w:before="0" w:beforeAutospacing="0" w:after="0" w:afterAutospacing="0"/>
        <w:ind w:firstLine="680"/>
        <w:rPr>
          <w:rFonts w:ascii="Arial" w:hAnsi="Arial" w:cs="Arial"/>
          <w:noProof/>
          <w:color w:val="000000"/>
          <w:lang w:val="ru-RU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8368FF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оле 10" o:spid="_x0000_s1033" type="#_x0000_t202" style="position:absolute;left:0;text-align:left;margin-left:0;margin-top:10.95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8368FF" w:rsidRDefault="008368FF" w:rsidP="008368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8368FF" w:rsidRDefault="008368FF" w:rsidP="008368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8368FF" w:rsidRDefault="008368FF" w:rsidP="008368F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8368FF" w:rsidRDefault="008368FF" w:rsidP="008368FF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1B19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469A3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133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D78B4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68FF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D93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4098"/>
    <w:rsid w:val="00A65718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1C66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0F1E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9677E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45D4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95BB1-D332-457C-9DAD-C96C94CB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2026-06-26T07:05:00Z</dcterms:created>
  <dcterms:modified xsi:type="dcterms:W3CDTF">2026-06-30T06:43:00Z</dcterms:modified>
</cp:coreProperties>
</file>