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36AAA">
      <w:pPr>
        <w:rPr>
          <w:rFonts w:ascii="e-Ukraine" w:hAnsi="e-Ukraine" w:cs="e-Ukraine"/>
        </w:rPr>
      </w:pPr>
      <w:r w:rsidRPr="00336AA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336AA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194AC6" w:rsidRPr="008941E8" w:rsidRDefault="00194AC6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194AC6" w:rsidRPr="00534D03" w:rsidRDefault="00194AC6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194AC6" w:rsidRPr="008941E8" w:rsidRDefault="00194AC6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194AC6" w:rsidRPr="008941E8" w:rsidRDefault="00194AC6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336AAA">
      <w:pPr>
        <w:rPr>
          <w:rFonts w:ascii="e-Ukraine" w:hAnsi="e-Ukraine" w:cs="e-Ukraine"/>
        </w:rPr>
      </w:pPr>
      <w:r w:rsidRPr="00336AA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36AAA">
      <w:pPr>
        <w:rPr>
          <w:rFonts w:ascii="e-Ukraine" w:hAnsi="e-Ukraine" w:cs="e-Ukraine"/>
        </w:rPr>
      </w:pPr>
      <w:r w:rsidRPr="00336AAA">
        <w:rPr>
          <w:noProof/>
          <w:lang w:val="ru-RU" w:eastAsia="ru-RU"/>
        </w:rPr>
        <w:pict>
          <v:shape id="Поле 8" o:spid="_x0000_s1029" type="#_x0000_t202" style="position:absolute;margin-left:-4.8pt;margin-top:21pt;width:316pt;height:69.65pt;z-index:251657728;visibility:visible;v-text-anchor:middle" filled="f" stroked="f" strokeweight=".5pt">
            <v:textbox style="mso-next-textbox:#Поле 8">
              <w:txbxContent>
                <w:p w:rsidR="00194AC6" w:rsidRPr="00194AC6" w:rsidRDefault="00194AC6" w:rsidP="008E3643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194AC6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Єдиний рахунок:                                 визначення дати сплати податкового зобов’язання або єдиного внеску </w:t>
                  </w:r>
                </w:p>
                <w:p w:rsidR="00194AC6" w:rsidRDefault="00194AC6" w:rsidP="008E3643">
                  <w:pPr>
                    <w:pStyle w:val="1"/>
                  </w:pPr>
                  <w:r>
                    <w:t xml:space="preserve"> </w:t>
                  </w:r>
                  <w:proofErr w:type="spellStart"/>
                  <w:r>
                    <w:t>зв’язку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передбачена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відповідальність</w:t>
                  </w:r>
                  <w:proofErr w:type="spellEnd"/>
                </w:p>
                <w:p w:rsidR="00194AC6" w:rsidRDefault="00194AC6" w:rsidP="00A317FA">
                  <w:pPr>
                    <w:pStyle w:val="1"/>
                  </w:pPr>
                  <w:r>
                    <w:t xml:space="preserve"> </w:t>
                  </w:r>
                  <w:proofErr w:type="spellStart"/>
                  <w:r>
                    <w:t>податковою</w:t>
                  </w:r>
                  <w:proofErr w:type="spellEnd"/>
                  <w:r>
                    <w:t xml:space="preserve"> службою </w:t>
                  </w:r>
                  <w:proofErr w:type="spellStart"/>
                  <w:r>
                    <w:t>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бізнесом</w:t>
                  </w:r>
                  <w:proofErr w:type="spellEnd"/>
                </w:p>
                <w:p w:rsidR="00194AC6" w:rsidRDefault="00194AC6" w:rsidP="008E692D">
                  <w:pPr>
                    <w:pStyle w:val="1"/>
                  </w:pPr>
                  <w:r>
                    <w:t xml:space="preserve"> </w:t>
                  </w:r>
                  <w:proofErr w:type="spellStart"/>
                  <w:r>
                    <w:t>неповнолітньої</w:t>
                  </w:r>
                  <w:proofErr w:type="spellEnd"/>
                  <w:r>
                    <w:t xml:space="preserve"> особи: </w:t>
                  </w:r>
                  <w:proofErr w:type="spellStart"/>
                  <w:r>
                    <w:t>хто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сплачує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податок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нерухоме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майно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відмінне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земельної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ділянки</w:t>
                  </w:r>
                  <w:proofErr w:type="spellEnd"/>
                  <w:r>
                    <w:t>?</w:t>
                  </w:r>
                </w:p>
                <w:p w:rsidR="00194AC6" w:rsidRDefault="00194AC6" w:rsidP="003E5B81">
                  <w:pPr>
                    <w:pStyle w:val="1"/>
                  </w:pPr>
                  <w:r>
                    <w:t xml:space="preserve"> </w:t>
                  </w:r>
                  <w:proofErr w:type="spellStart"/>
                  <w:r>
                    <w:t>має</w:t>
                  </w:r>
                  <w:proofErr w:type="spellEnd"/>
                  <w:r>
                    <w:t xml:space="preserve"> право на </w:t>
                  </w:r>
                  <w:proofErr w:type="spellStart"/>
                  <w:proofErr w:type="gramStart"/>
                  <w:r>
                    <w:t>п</w:t>
                  </w:r>
                  <w:proofErr w:type="gramEnd"/>
                  <w:r>
                    <w:t>ільгу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щодо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сплати</w:t>
                  </w:r>
                  <w:proofErr w:type="spellEnd"/>
                  <w:r>
                    <w:t xml:space="preserve"> земельного </w:t>
                  </w:r>
                  <w:proofErr w:type="spellStart"/>
                  <w:r>
                    <w:t>податку</w:t>
                  </w:r>
                  <w:proofErr w:type="spellEnd"/>
                  <w:r>
                    <w:t>?</w:t>
                  </w:r>
                </w:p>
                <w:p w:rsidR="00194AC6" w:rsidRDefault="00194AC6" w:rsidP="00FB0BA7">
                  <w:pPr>
                    <w:pStyle w:val="1"/>
                  </w:pPr>
                  <w:r>
                    <w:t xml:space="preserve"> </w:t>
                  </w:r>
                  <w:proofErr w:type="spellStart"/>
                  <w:r>
                    <w:t>пошук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розрахункового</w:t>
                  </w:r>
                  <w:proofErr w:type="spellEnd"/>
                  <w:r>
                    <w:t xml:space="preserve"> документа, </w:t>
                  </w:r>
                  <w:proofErr w:type="spellStart"/>
                  <w:r>
                    <w:t>створеного</w:t>
                  </w:r>
                  <w:proofErr w:type="spellEnd"/>
                  <w:r>
                    <w:t xml:space="preserve"> ПРРО?</w:t>
                  </w:r>
                </w:p>
                <w:p w:rsidR="00194AC6" w:rsidRPr="00EF4D6E" w:rsidRDefault="00194AC6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336AAA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336AA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194AC6" w:rsidRPr="00B67529" w:rsidRDefault="00194AC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194AC6" w:rsidRDefault="00194AC6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194AC6" w:rsidRPr="00026C80" w:rsidRDefault="00194AC6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8E3643" w:rsidRPr="00194AC6" w:rsidRDefault="00B23C1D" w:rsidP="002A4A1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4AC6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194AC6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194AC6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194AC6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194AC6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8E3643" w:rsidRPr="00194AC6">
        <w:rPr>
          <w:rFonts w:ascii="Arial" w:hAnsi="Arial" w:cs="Arial"/>
          <w:sz w:val="28"/>
          <w:szCs w:val="28"/>
          <w:lang w:eastAsia="ru-RU"/>
        </w:rPr>
        <w:t xml:space="preserve">нагадує. </w:t>
      </w:r>
    </w:p>
    <w:p w:rsidR="008E3643" w:rsidRPr="00194AC6" w:rsidRDefault="008E3643" w:rsidP="002A4A1E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4AC6">
        <w:rPr>
          <w:rFonts w:ascii="Arial" w:hAnsi="Arial" w:cs="Arial"/>
          <w:sz w:val="28"/>
          <w:szCs w:val="28"/>
          <w:lang w:eastAsia="ru-RU"/>
        </w:rPr>
        <w:t>Єдиний рахунок – це рахунок, відкритий у центральному органі виконавчої влади, що реалізує державну політику у сфері казначейського обслуговування бюджетних коштів, для центрального органу виконавчої влади, що реалізує державну податкову політику, який може використовуватися платником податків для сплати грошових зобов’язань та/або податкового боргу з податків та зборів, передбачених ПКУ, єдиного внеску на загальнообов’язкове державне соціальне страхування (єдиний внесок) та інших платежів, контроль за справлянням яких покладено на контролюючі органи (</w:t>
      </w:r>
      <w:proofErr w:type="spellStart"/>
      <w:r w:rsidRPr="00194AC6">
        <w:rPr>
          <w:rFonts w:ascii="Arial" w:hAnsi="Arial" w:cs="Arial"/>
          <w:sz w:val="28"/>
          <w:szCs w:val="28"/>
          <w:lang w:eastAsia="ru-RU"/>
        </w:rPr>
        <w:t>абз</w:t>
      </w:r>
      <w:proofErr w:type="spellEnd"/>
      <w:r w:rsidRPr="00194AC6">
        <w:rPr>
          <w:rFonts w:ascii="Arial" w:hAnsi="Arial" w:cs="Arial"/>
          <w:sz w:val="28"/>
          <w:szCs w:val="28"/>
          <w:lang w:eastAsia="ru-RU"/>
        </w:rPr>
        <w:t xml:space="preserve">. перший п. 35 прим. 1.1 ст. 35 прим. 1 ПКУ). </w:t>
      </w:r>
    </w:p>
    <w:p w:rsidR="008E3643" w:rsidRPr="00194AC6" w:rsidRDefault="008E3643" w:rsidP="002A4A1E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4AC6">
        <w:rPr>
          <w:rFonts w:ascii="Arial" w:hAnsi="Arial" w:cs="Arial"/>
          <w:sz w:val="28"/>
          <w:szCs w:val="28"/>
          <w:lang w:eastAsia="ru-RU"/>
        </w:rPr>
        <w:t xml:space="preserve">Для цілей ПКУ внесення (перерахування, надходження, сплата, зарахування) коштів платником податку на єдиний рахунок у випадках, передбачених ст. 35 прим. 1 ПКУ, вважається внесенням (перерахуванням, надходженням, сплатою, зарахуванням) коштів таким платником податку до бюджету (п. 14.3. ст. 14 ПКУ). </w:t>
      </w:r>
    </w:p>
    <w:p w:rsidR="008E3643" w:rsidRPr="00194AC6" w:rsidRDefault="008E3643" w:rsidP="002A4A1E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4AC6">
        <w:rPr>
          <w:rFonts w:ascii="Arial" w:hAnsi="Arial" w:cs="Arial"/>
          <w:sz w:val="28"/>
          <w:szCs w:val="28"/>
          <w:lang w:eastAsia="ru-RU"/>
        </w:rPr>
        <w:t xml:space="preserve">Обов’язок платника податку щодо сплати податків та зборів на єдиний рахунок, визначений ст. 35 прим. 1 ПКУ, вважається виконаним з моменту, коли ініціювання переказу є завершеним для такого платника податків згідно із Законом № 1591 (п. 35.2 ст. 35 ПКУ). </w:t>
      </w:r>
    </w:p>
    <w:p w:rsidR="008E3643" w:rsidRPr="00194AC6" w:rsidRDefault="008E3643" w:rsidP="002A4A1E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4AC6">
        <w:rPr>
          <w:rFonts w:ascii="Arial" w:hAnsi="Arial" w:cs="Arial"/>
          <w:sz w:val="28"/>
          <w:szCs w:val="28"/>
          <w:lang w:eastAsia="ru-RU"/>
        </w:rPr>
        <w:t xml:space="preserve">Отже, датою сплати грошових зобов’язань з податків, зборів, платежів та єдиного внеску платниками, які використовують єдиний рахунок, є дата зарахування коштів на єдиний рахунок. </w:t>
      </w:r>
    </w:p>
    <w:p w:rsidR="008E3643" w:rsidRPr="00194AC6" w:rsidRDefault="008E3643" w:rsidP="002A4A1E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proofErr w:type="spellStart"/>
      <w:r w:rsidRPr="00194AC6">
        <w:rPr>
          <w:rFonts w:ascii="Arial" w:hAnsi="Arial" w:cs="Arial"/>
          <w:sz w:val="28"/>
          <w:szCs w:val="28"/>
          <w:lang w:eastAsia="ru-RU"/>
        </w:rPr>
        <w:t>Довідково</w:t>
      </w:r>
      <w:proofErr w:type="spellEnd"/>
      <w:r w:rsidRPr="00194AC6">
        <w:rPr>
          <w:rFonts w:ascii="Arial" w:hAnsi="Arial" w:cs="Arial"/>
          <w:sz w:val="28"/>
          <w:szCs w:val="28"/>
          <w:lang w:eastAsia="ru-RU"/>
        </w:rPr>
        <w:t xml:space="preserve">: </w:t>
      </w:r>
    </w:p>
    <w:p w:rsidR="008E3643" w:rsidRPr="00194AC6" w:rsidRDefault="008E3643" w:rsidP="002A4A1E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4AC6">
        <w:rPr>
          <w:rFonts w:ascii="Arial" w:hAnsi="Arial" w:cs="Arial"/>
          <w:sz w:val="28"/>
          <w:szCs w:val="28"/>
          <w:lang w:eastAsia="ru-RU"/>
        </w:rPr>
        <w:t xml:space="preserve">1. ПКУ – Податковий кодекс України від 02 грудня 2010 року № 2755-VI (зі змінами та доповненнями).  </w:t>
      </w:r>
    </w:p>
    <w:p w:rsidR="00FB0BA7" w:rsidRPr="00194AC6" w:rsidRDefault="008E3643" w:rsidP="002A4A1E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4AC6">
        <w:rPr>
          <w:rFonts w:ascii="Arial" w:hAnsi="Arial" w:cs="Arial"/>
          <w:sz w:val="28"/>
          <w:szCs w:val="28"/>
          <w:lang w:eastAsia="ru-RU"/>
        </w:rPr>
        <w:t xml:space="preserve">2. Закон № 1591 – Закон України від 30 червня 2021 року № 1591-IХ «Про платіжні послуги» (зі змінами та доповненнями). </w:t>
      </w:r>
    </w:p>
    <w:p w:rsidR="00050567" w:rsidRDefault="00050567" w:rsidP="00EF4D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194AC6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rFonts w:ascii="Times New Roman" w:hAnsi="Times New Roman" w:cs="Times New Roman"/>
        </w:rPr>
        <w:pict>
          <v:shape id="Поле 10" o:spid="_x0000_s1033" type="#_x0000_t202" style="position:absolute;left:0;text-align:left;margin-left:0;margin-top:11.05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194AC6" w:rsidRDefault="00194AC6" w:rsidP="00194AC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194AC6" w:rsidRDefault="00194AC6" w:rsidP="00194AC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194AC6" w:rsidRDefault="00194AC6" w:rsidP="00194AC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194AC6" w:rsidRDefault="00194AC6" w:rsidP="00194AC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94AC6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A4A1E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36AAA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727D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5B8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41C72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4E84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0024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746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3643"/>
    <w:rsid w:val="008E573A"/>
    <w:rsid w:val="008E6040"/>
    <w:rsid w:val="008E692D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17FA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4D6E"/>
    <w:rsid w:val="00EF5B29"/>
    <w:rsid w:val="00EF714A"/>
    <w:rsid w:val="00F0137F"/>
    <w:rsid w:val="00F01CD2"/>
    <w:rsid w:val="00F02BFD"/>
    <w:rsid w:val="00F06230"/>
    <w:rsid w:val="00F10635"/>
    <w:rsid w:val="00F107CA"/>
    <w:rsid w:val="00F22A1F"/>
    <w:rsid w:val="00F24CE5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0C0F"/>
    <w:rsid w:val="00FA29E9"/>
    <w:rsid w:val="00FA3F03"/>
    <w:rsid w:val="00FA718C"/>
    <w:rsid w:val="00FB0BA7"/>
    <w:rsid w:val="00FB6EF6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1FA0E-8B9C-4531-B6F4-8F5B843B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2020-08-10T08:25:00Z</cp:lastPrinted>
  <dcterms:created xsi:type="dcterms:W3CDTF">2026-06-26T07:14:00Z</dcterms:created>
  <dcterms:modified xsi:type="dcterms:W3CDTF">2026-06-30T06:36:00Z</dcterms:modified>
</cp:coreProperties>
</file>