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951E70">
      <w:pPr>
        <w:rPr>
          <w:rFonts w:ascii="e-Ukraine" w:hAnsi="e-Ukraine" w:cs="e-Ukraine"/>
        </w:rPr>
      </w:pPr>
      <w:r w:rsidRPr="00951E70">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951E70">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951E70">
      <w:pPr>
        <w:rPr>
          <w:rFonts w:ascii="e-Ukraine" w:hAnsi="e-Ukraine" w:cs="e-Ukraine"/>
        </w:rPr>
      </w:pPr>
      <w:r w:rsidRPr="00951E70">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DE3648">
      <w:pPr>
        <w:rPr>
          <w:rFonts w:ascii="e-Ukraine" w:hAnsi="e-Ukraine" w:cs="e-Ukraine"/>
        </w:rPr>
      </w:pPr>
      <w:r w:rsidRPr="00951E70">
        <w:rPr>
          <w:noProof/>
          <w:lang w:val="ru-RU" w:eastAsia="ru-RU"/>
        </w:rPr>
        <w:pict>
          <v:shape id="Поле 8" o:spid="_x0000_s1029" type="#_x0000_t202" style="position:absolute;margin-left:-4.8pt;margin-top:22.6pt;width:342pt;height:33.6pt;z-index:251657728;visibility:visible;v-text-anchor:middle" filled="f" stroked="f" strokeweight=".5pt">
            <v:textbox style="mso-next-textbox:#Поле 8">
              <w:txbxContent>
                <w:p w:rsidR="004B2324" w:rsidRPr="004B2324" w:rsidRDefault="004B2324" w:rsidP="004B2324">
                  <w:pPr>
                    <w:pStyle w:val="1"/>
                    <w:rPr>
                      <w:rFonts w:ascii="Arial Black" w:hAnsi="Arial Black"/>
                      <w:sz w:val="30"/>
                      <w:szCs w:val="30"/>
                    </w:rPr>
                  </w:pPr>
                  <w:r w:rsidRPr="004B2324">
                    <w:rPr>
                      <w:rFonts w:ascii="Arial Black" w:hAnsi="Arial Black"/>
                      <w:sz w:val="30"/>
                      <w:szCs w:val="30"/>
                    </w:rPr>
                    <w:t xml:space="preserve">До </w:t>
                  </w:r>
                  <w:proofErr w:type="spellStart"/>
                  <w:r w:rsidRPr="004B2324">
                    <w:rPr>
                      <w:rFonts w:ascii="Arial Black" w:hAnsi="Arial Black"/>
                      <w:sz w:val="30"/>
                      <w:szCs w:val="30"/>
                    </w:rPr>
                    <w:t>уваги</w:t>
                  </w:r>
                  <w:proofErr w:type="spellEnd"/>
                  <w:r w:rsidRPr="004B2324">
                    <w:rPr>
                      <w:rFonts w:ascii="Arial Black" w:hAnsi="Arial Black"/>
                      <w:sz w:val="30"/>
                      <w:szCs w:val="30"/>
                    </w:rPr>
                    <w:t xml:space="preserve"> </w:t>
                  </w:r>
                  <w:proofErr w:type="spellStart"/>
                  <w:r w:rsidRPr="004B2324">
                    <w:rPr>
                      <w:rFonts w:ascii="Arial Black" w:hAnsi="Arial Black"/>
                      <w:sz w:val="30"/>
                      <w:szCs w:val="30"/>
                    </w:rPr>
                    <w:t>роботодавців</w:t>
                  </w:r>
                  <w:proofErr w:type="spellEnd"/>
                  <w:r w:rsidRPr="004B2324">
                    <w:rPr>
                      <w:rFonts w:ascii="Arial Black" w:hAnsi="Arial Black"/>
                      <w:sz w:val="30"/>
                      <w:szCs w:val="30"/>
                    </w:rPr>
                    <w:t>!</w:t>
                  </w:r>
                </w:p>
                <w:p w:rsidR="00B9473A" w:rsidRPr="004B2324" w:rsidRDefault="00B9473A" w:rsidP="004B2324">
                  <w:pPr>
                    <w:pStyle w:val="1"/>
                    <w:rPr>
                      <w:rFonts w:ascii="Arial Black" w:hAnsi="Arial Black"/>
                      <w:sz w:val="28"/>
                      <w:szCs w:val="28"/>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DE3648" w:rsidP="009B046D">
      <w:pPr>
        <w:pStyle w:val="a3"/>
        <w:spacing w:before="0" w:beforeAutospacing="0" w:after="0" w:afterAutospacing="0"/>
        <w:ind w:firstLine="567"/>
        <w:jc w:val="both"/>
        <w:rPr>
          <w:rFonts w:ascii="e-Ukraine Cyr" w:hAnsi="e-Ukraine Cyr"/>
          <w:noProof/>
          <w:color w:val="000000"/>
          <w:sz w:val="28"/>
          <w:szCs w:val="28"/>
        </w:rPr>
      </w:pPr>
      <w:r w:rsidRPr="00951E70">
        <w:rPr>
          <w:noProof/>
          <w:sz w:val="22"/>
          <w:szCs w:val="22"/>
          <w:lang w:val="ru-RU" w:eastAsia="ru-RU"/>
        </w:rPr>
        <w:pict>
          <v:shape id="Поле 9" o:spid="_x0000_s1030" type="#_x0000_t202" style="position:absolute;left:0;text-align:left;margin-left:-4.8pt;margin-top:12.95pt;width:190pt;height:26.35pt;z-index:251656704;visibility:visible" filled="f" stroked="f" strokeweight=".5pt">
            <v:textbox style="mso-next-textbox:#Поле 9">
              <w:txbxContent>
                <w:p w:rsidR="007563A3" w:rsidRPr="00B67529" w:rsidRDefault="00216391" w:rsidP="00BE5853">
                  <w:pPr>
                    <w:rPr>
                      <w:rFonts w:ascii="Arial" w:hAnsi="Arial" w:cs="Arial"/>
                      <w:b/>
                      <w:i/>
                      <w:color w:val="000000"/>
                      <w:sz w:val="26"/>
                      <w:szCs w:val="26"/>
                    </w:rPr>
                  </w:pPr>
                  <w:r>
                    <w:rPr>
                      <w:rFonts w:ascii="Arial" w:hAnsi="Arial" w:cs="Arial"/>
                      <w:b/>
                      <w:i/>
                      <w:color w:val="000000"/>
                      <w:sz w:val="26"/>
                      <w:szCs w:val="26"/>
                    </w:rPr>
                    <w:t>червен</w:t>
                  </w:r>
                  <w:r w:rsidR="009C0FCE">
                    <w:rPr>
                      <w:rFonts w:ascii="Arial" w:hAnsi="Arial" w:cs="Arial"/>
                      <w:b/>
                      <w:i/>
                      <w:color w:val="000000"/>
                      <w:sz w:val="26"/>
                      <w:szCs w:val="26"/>
                    </w:rPr>
                    <w:t>ь</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574085" w:rsidRDefault="00574085" w:rsidP="007563A3">
      <w:pPr>
        <w:spacing w:after="0" w:line="240" w:lineRule="auto"/>
        <w:ind w:firstLine="709"/>
        <w:jc w:val="both"/>
        <w:rPr>
          <w:rFonts w:ascii="Arial" w:hAnsi="Arial" w:cs="Arial"/>
          <w:noProof/>
          <w:color w:val="000000"/>
          <w:sz w:val="24"/>
          <w:szCs w:val="24"/>
        </w:rPr>
      </w:pPr>
    </w:p>
    <w:p w:rsidR="00A458D3" w:rsidRDefault="00A458D3" w:rsidP="00DE3648">
      <w:pPr>
        <w:pStyle w:val="a3"/>
        <w:spacing w:before="0" w:beforeAutospacing="0" w:after="120" w:afterAutospacing="0"/>
        <w:jc w:val="both"/>
        <w:rPr>
          <w:rFonts w:ascii="Arial" w:hAnsi="Arial" w:cs="Arial"/>
          <w:noProof/>
          <w:color w:val="000000"/>
          <w:sz w:val="26"/>
          <w:szCs w:val="26"/>
        </w:rPr>
      </w:pPr>
    </w:p>
    <w:p w:rsidR="004B2324" w:rsidRPr="004B2324" w:rsidRDefault="00B23C1D" w:rsidP="004B2324">
      <w:pPr>
        <w:pStyle w:val="a3"/>
        <w:spacing w:before="0" w:beforeAutospacing="0" w:after="0" w:afterAutospacing="0"/>
        <w:ind w:firstLine="680"/>
        <w:jc w:val="both"/>
        <w:rPr>
          <w:rFonts w:ascii="Arial" w:hAnsi="Arial" w:cs="Arial"/>
          <w:noProof/>
          <w:color w:val="000000"/>
          <w:sz w:val="25"/>
          <w:szCs w:val="25"/>
        </w:rPr>
      </w:pPr>
      <w:r w:rsidRPr="004B2324">
        <w:rPr>
          <w:rFonts w:ascii="Arial" w:hAnsi="Arial" w:cs="Arial"/>
          <w:noProof/>
          <w:color w:val="000000"/>
          <w:sz w:val="25"/>
          <w:szCs w:val="25"/>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4B2324">
        <w:rPr>
          <w:rFonts w:ascii="Arial" w:hAnsi="Arial" w:cs="Arial"/>
          <w:noProof/>
          <w:color w:val="000000"/>
          <w:sz w:val="25"/>
          <w:szCs w:val="25"/>
        </w:rPr>
        <w:t>айо</w:t>
      </w:r>
      <w:r w:rsidRPr="004B2324">
        <w:rPr>
          <w:rFonts w:ascii="Arial" w:hAnsi="Arial" w:cs="Arial"/>
          <w:noProof/>
          <w:color w:val="000000"/>
          <w:sz w:val="25"/>
          <w:szCs w:val="25"/>
        </w:rPr>
        <w:t>н</w:t>
      </w:r>
      <w:r w:rsidR="009A3C86" w:rsidRPr="004B2324">
        <w:rPr>
          <w:rFonts w:ascii="Arial" w:hAnsi="Arial" w:cs="Arial"/>
          <w:noProof/>
          <w:color w:val="000000"/>
          <w:sz w:val="25"/>
          <w:szCs w:val="25"/>
        </w:rPr>
        <w:t>)</w:t>
      </w:r>
      <w:r w:rsidR="00E4784B" w:rsidRPr="004B2324">
        <w:rPr>
          <w:rFonts w:ascii="Arial" w:hAnsi="Arial" w:cs="Arial"/>
          <w:noProof/>
          <w:color w:val="000000"/>
          <w:sz w:val="25"/>
          <w:szCs w:val="25"/>
        </w:rPr>
        <w:t xml:space="preserve"> </w:t>
      </w:r>
      <w:r w:rsidR="004B2324" w:rsidRPr="004B2324">
        <w:rPr>
          <w:rFonts w:ascii="Arial" w:hAnsi="Arial" w:cs="Arial"/>
          <w:noProof/>
          <w:color w:val="000000"/>
          <w:sz w:val="25"/>
          <w:szCs w:val="25"/>
        </w:rPr>
        <w:t xml:space="preserve">звертає увагу, що  згідно з п.п. «б» п. 176.2. ст. 176 Податкового кодексу України (далі – ПКУ) особи, які відповідно до ПКУ, мають статус податкових агентів, та платники єдиного внеску зобов’язані подавати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w:t>
      </w:r>
    </w:p>
    <w:p w:rsidR="004B2324" w:rsidRPr="004B2324" w:rsidRDefault="004B2324" w:rsidP="004B2324">
      <w:pPr>
        <w:spacing w:after="0" w:line="240" w:lineRule="auto"/>
        <w:ind w:firstLine="680"/>
        <w:jc w:val="both"/>
        <w:rPr>
          <w:rFonts w:ascii="Arial" w:hAnsi="Arial" w:cs="Arial"/>
          <w:noProof/>
          <w:color w:val="000000"/>
          <w:sz w:val="25"/>
          <w:szCs w:val="25"/>
          <w:lang w:eastAsia="uk-UA"/>
        </w:rPr>
      </w:pPr>
      <w:r w:rsidRPr="004B2324">
        <w:rPr>
          <w:rFonts w:ascii="Arial" w:hAnsi="Arial" w:cs="Arial"/>
          <w:noProof/>
          <w:color w:val="000000"/>
          <w:sz w:val="25"/>
          <w:szCs w:val="25"/>
          <w:lang w:eastAsia="uk-UA"/>
        </w:rPr>
        <w:t xml:space="preserve">для податкових агентів, які є фізичними особами – підприємцями та особами, які провадять незалежну професійну діяльність, – у строки, встановлені ПКУ для податкового кварталу (з розбивкою по місяцях звітного кварталу); </w:t>
      </w:r>
    </w:p>
    <w:p w:rsidR="004B2324" w:rsidRPr="004B2324" w:rsidRDefault="004B2324" w:rsidP="004B2324">
      <w:pPr>
        <w:spacing w:after="0" w:line="240" w:lineRule="auto"/>
        <w:ind w:firstLine="680"/>
        <w:jc w:val="both"/>
        <w:rPr>
          <w:rFonts w:ascii="Arial" w:hAnsi="Arial" w:cs="Arial"/>
          <w:noProof/>
          <w:color w:val="000000"/>
          <w:sz w:val="25"/>
          <w:szCs w:val="25"/>
          <w:lang w:eastAsia="uk-UA"/>
        </w:rPr>
      </w:pPr>
      <w:r w:rsidRPr="004B2324">
        <w:rPr>
          <w:rFonts w:ascii="Arial" w:hAnsi="Arial" w:cs="Arial"/>
          <w:noProof/>
          <w:color w:val="000000"/>
          <w:sz w:val="25"/>
          <w:szCs w:val="25"/>
          <w:lang w:eastAsia="uk-UA"/>
        </w:rPr>
        <w:t xml:space="preserve">для інших податкових агентів, крім фізичних осіб – підприємців та/або осіб, які провадять незалежну професійну діяльність, – у строки, встановлені ПКУ для податкового місяця. </w:t>
      </w:r>
    </w:p>
    <w:p w:rsidR="004B2324" w:rsidRPr="004B2324" w:rsidRDefault="004B2324" w:rsidP="004B2324">
      <w:pPr>
        <w:spacing w:after="0" w:line="240" w:lineRule="auto"/>
        <w:ind w:firstLine="680"/>
        <w:jc w:val="both"/>
        <w:rPr>
          <w:rFonts w:ascii="Arial" w:hAnsi="Arial" w:cs="Arial"/>
          <w:noProof/>
          <w:color w:val="000000"/>
          <w:sz w:val="25"/>
          <w:szCs w:val="25"/>
          <w:lang w:eastAsia="uk-UA"/>
        </w:rPr>
      </w:pPr>
      <w:r w:rsidRPr="004B2324">
        <w:rPr>
          <w:rFonts w:ascii="Arial" w:hAnsi="Arial" w:cs="Arial"/>
          <w:noProof/>
          <w:color w:val="000000"/>
          <w:sz w:val="25"/>
          <w:szCs w:val="25"/>
          <w:lang w:eastAsia="uk-UA"/>
        </w:rPr>
        <w:t xml:space="preserve">Статтею 24 Кодексу законів про працю України визначено, що працівник не може бути допущений до роботи без укладення трудового договору, оформленого наказом чи розпорядженням роботодавця, та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про прийняття працівника на роботу в порядку, встановленому Кабінетом Міністрів України. </w:t>
      </w:r>
    </w:p>
    <w:p w:rsidR="004B2324" w:rsidRPr="004B2324" w:rsidRDefault="004B2324" w:rsidP="004B2324">
      <w:pPr>
        <w:spacing w:after="0" w:line="240" w:lineRule="auto"/>
        <w:ind w:firstLine="680"/>
        <w:jc w:val="both"/>
        <w:rPr>
          <w:rFonts w:ascii="Arial" w:hAnsi="Arial" w:cs="Arial"/>
          <w:noProof/>
          <w:color w:val="000000"/>
          <w:sz w:val="25"/>
          <w:szCs w:val="25"/>
          <w:lang w:eastAsia="uk-UA"/>
        </w:rPr>
      </w:pPr>
      <w:r w:rsidRPr="004B2324">
        <w:rPr>
          <w:rFonts w:ascii="Arial" w:hAnsi="Arial" w:cs="Arial"/>
          <w:noProof/>
          <w:color w:val="000000"/>
          <w:sz w:val="25"/>
          <w:szCs w:val="25"/>
          <w:lang w:eastAsia="uk-UA"/>
        </w:rPr>
        <w:t xml:space="preserve">Наказом Міністерства фінансів України від 13.01.2015 № 4 (із змінам) затверджені Форма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Розрахунок) та Порядок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(далі – Порядок). </w:t>
      </w:r>
    </w:p>
    <w:p w:rsidR="004B2324" w:rsidRPr="004B2324" w:rsidRDefault="004B2324" w:rsidP="004B2324">
      <w:pPr>
        <w:spacing w:after="0" w:line="240" w:lineRule="auto"/>
        <w:ind w:firstLine="680"/>
        <w:jc w:val="both"/>
        <w:rPr>
          <w:rFonts w:ascii="Arial" w:hAnsi="Arial" w:cs="Arial"/>
          <w:noProof/>
          <w:color w:val="000000"/>
          <w:sz w:val="25"/>
          <w:szCs w:val="25"/>
          <w:lang w:eastAsia="uk-UA"/>
        </w:rPr>
      </w:pPr>
      <w:r w:rsidRPr="004B2324">
        <w:rPr>
          <w:rFonts w:ascii="Arial" w:hAnsi="Arial" w:cs="Arial"/>
          <w:noProof/>
          <w:color w:val="000000"/>
          <w:sz w:val="25"/>
          <w:szCs w:val="25"/>
          <w:lang w:eastAsia="uk-UA"/>
        </w:rPr>
        <w:t xml:space="preserve">Відповідно до п.п. 2 п. 4 розд. IV Порядку під час заповнення додатка 4 ДФ «Відомості про суми нарахованого доходу, утриманого та сплаченого податку на доходи фізичних осіб та військового збору» (далі – Додаток 4ДФ) до Розрахунку графа 7 «Дата прийняття на роботу» заповнюється лише на тих фізичних осіб, які приймались на роботу у звітному періоді. </w:t>
      </w:r>
    </w:p>
    <w:p w:rsidR="00050567" w:rsidRPr="004B2324" w:rsidRDefault="004B2324" w:rsidP="004B2324">
      <w:pPr>
        <w:spacing w:after="0" w:line="240" w:lineRule="auto"/>
        <w:ind w:firstLine="680"/>
        <w:jc w:val="both"/>
        <w:rPr>
          <w:rFonts w:ascii="Arial" w:hAnsi="Arial" w:cs="Arial"/>
          <w:noProof/>
          <w:color w:val="000000"/>
          <w:sz w:val="25"/>
          <w:szCs w:val="25"/>
        </w:rPr>
      </w:pPr>
      <w:r w:rsidRPr="004B2324">
        <w:rPr>
          <w:rFonts w:ascii="Arial" w:hAnsi="Arial" w:cs="Arial"/>
          <w:noProof/>
          <w:color w:val="000000"/>
          <w:sz w:val="25"/>
          <w:szCs w:val="25"/>
          <w:lang w:eastAsia="uk-UA"/>
        </w:rPr>
        <w:t xml:space="preserve">Враховуючи викладене, якщо працівника було прийнято на роботу в звітному періоді (наприклад 31 березня), а дохід нараховано і виплачено у наступному (наприклад 01 квітня), то дата прийняття на роботу (31 березня) не відображається при заповненні додатка 4ДФ до Розрахунку за той звітний період, в якому нараховано дохід працівнику. </w:t>
      </w:r>
    </w:p>
    <w:p w:rsidR="00AF5BEE" w:rsidRPr="004B2324" w:rsidRDefault="00B67529" w:rsidP="004B2324">
      <w:pPr>
        <w:pStyle w:val="a3"/>
        <w:spacing w:before="0" w:beforeAutospacing="0" w:after="0" w:afterAutospacing="0"/>
        <w:ind w:firstLine="680"/>
        <w:jc w:val="both"/>
        <w:rPr>
          <w:rFonts w:ascii="Arial" w:hAnsi="Arial" w:cs="Arial"/>
          <w:noProof/>
          <w:color w:val="000000"/>
          <w:lang w:eastAsia="en-US"/>
        </w:rPr>
      </w:pPr>
      <w:r w:rsidRPr="004B2324">
        <w:rPr>
          <w:rFonts w:ascii="Arial" w:hAnsi="Arial" w:cs="Arial"/>
          <w:noProof/>
          <w:color w:val="000000"/>
          <w:lang w:eastAsia="en-US"/>
        </w:rPr>
        <w:t xml:space="preserve"> </w:t>
      </w:r>
      <w:r w:rsidR="00270072" w:rsidRPr="004B2324">
        <w:rPr>
          <w:rFonts w:ascii="Arial" w:hAnsi="Arial" w:cs="Arial"/>
          <w:noProof/>
          <w:color w:val="000000"/>
          <w:lang w:eastAsia="en-US"/>
        </w:rPr>
        <w:t xml:space="preserve"> </w:t>
      </w:r>
      <w:r w:rsidR="00AF5BEE" w:rsidRPr="004B2324">
        <w:rPr>
          <w:rFonts w:ascii="Arial" w:hAnsi="Arial" w:cs="Arial"/>
          <w:noProof/>
          <w:color w:val="000000"/>
          <w:lang w:eastAsia="en-US"/>
        </w:rPr>
        <w:t xml:space="preserve"> </w:t>
      </w:r>
    </w:p>
    <w:p w:rsidR="00A458D3" w:rsidRPr="00DE3648" w:rsidRDefault="00DE3648" w:rsidP="00DE3648">
      <w:pPr>
        <w:pStyle w:val="a3"/>
        <w:spacing w:before="0" w:beforeAutospacing="0" w:after="0" w:afterAutospacing="0"/>
        <w:ind w:firstLine="680"/>
        <w:jc w:val="both"/>
        <w:rPr>
          <w:rFonts w:ascii="Arial" w:hAnsi="Arial" w:cs="Arial"/>
          <w:noProof/>
          <w:color w:val="000000"/>
          <w:sz w:val="25"/>
          <w:szCs w:val="25"/>
        </w:rPr>
      </w:pPr>
      <w:r>
        <w:rPr>
          <w:rFonts w:ascii="Times New Roman" w:hAnsi="Times New Roman" w:cs="Times New Roman"/>
        </w:rPr>
        <w:pict>
          <v:shape id="Поле 10" o:spid="_x0000_s1033" type="#_x0000_t202" style="position:absolute;left:0;text-align:left;margin-left:0;margin-top:25.35pt;width:500pt;height:52.45pt;z-index:251663872;visibility:visible;mso-position-horizontal-relative:text;mso-position-vertical-relative:text" fillcolor="#0070c0" stroked="f" strokeweight=".5pt">
            <v:textbox style="mso-next-textbox:#Поле 10">
              <w:txbxContent>
                <w:p w:rsidR="00DE3648" w:rsidRDefault="00DE3648" w:rsidP="00DE3648">
                  <w:pPr>
                    <w:pStyle w:val="a3"/>
                    <w:spacing w:before="0" w:beforeAutospacing="0" w:after="0" w:afterAutospacing="0"/>
                    <w:jc w:val="center"/>
                    <w:rPr>
                      <w:rStyle w:val="a4"/>
                      <w:rFonts w:ascii="e-Ukraine" w:hAnsi="e-Ukraine" w:cs="Arial"/>
                      <w:b w:val="0"/>
                      <w:bCs w:val="0"/>
                      <w:color w:val="FFFFFF"/>
                      <w:spacing w:val="-4"/>
                      <w:sz w:val="18"/>
                      <w:szCs w:val="18"/>
                      <w:u w:val="single"/>
                    </w:rPr>
                  </w:pPr>
                  <w:r>
                    <w:rPr>
                      <w:rStyle w:val="a4"/>
                      <w:rFonts w:ascii="e-Ukraine" w:hAnsi="e-Ukraine" w:cs="Arial"/>
                      <w:b w:val="0"/>
                      <w:bCs w:val="0"/>
                      <w:color w:val="FFFFFF"/>
                      <w:spacing w:val="-4"/>
                      <w:sz w:val="18"/>
                      <w:szCs w:val="18"/>
                    </w:rPr>
                    <w:t xml:space="preserve">Офіційний </w:t>
                  </w:r>
                  <w:proofErr w:type="spellStart"/>
                  <w:r>
                    <w:rPr>
                      <w:rStyle w:val="a4"/>
                      <w:rFonts w:ascii="e-Ukraine" w:hAnsi="e-Ukraine" w:cs="Arial"/>
                      <w:b w:val="0"/>
                      <w:bCs w:val="0"/>
                      <w:color w:val="FFFFFF"/>
                      <w:spacing w:val="-4"/>
                      <w:sz w:val="18"/>
                      <w:szCs w:val="18"/>
                    </w:rPr>
                    <w:t>вебпортал</w:t>
                  </w:r>
                  <w:proofErr w:type="spellEnd"/>
                  <w:r>
                    <w:rPr>
                      <w:rStyle w:val="a4"/>
                      <w:rFonts w:ascii="e-Ukraine" w:hAnsi="e-Ukraine" w:cs="Arial"/>
                      <w:b w:val="0"/>
                      <w:bCs w:val="0"/>
                      <w:color w:val="FFFFFF"/>
                      <w:spacing w:val="-4"/>
                      <w:sz w:val="18"/>
                      <w:szCs w:val="18"/>
                    </w:rPr>
                    <w:t xml:space="preserve"> Державної податкової служби України: </w:t>
                  </w:r>
                  <w:r>
                    <w:rPr>
                      <w:rStyle w:val="a4"/>
                      <w:rFonts w:ascii="e-Ukraine" w:hAnsi="e-Ukraine" w:cs="Arial"/>
                      <w:b w:val="0"/>
                      <w:bCs w:val="0"/>
                      <w:color w:val="FFFFFF"/>
                      <w:spacing w:val="-4"/>
                      <w:sz w:val="18"/>
                      <w:szCs w:val="18"/>
                      <w:lang w:val="en-US"/>
                    </w:rPr>
                    <w:t>tax</w:t>
                  </w:r>
                  <w:proofErr w:type="spellStart"/>
                  <w:r>
                    <w:rPr>
                      <w:rStyle w:val="a4"/>
                      <w:rFonts w:ascii="e-Ukraine" w:hAnsi="e-Ukraine" w:cs="Arial"/>
                      <w:b w:val="0"/>
                      <w:bCs w:val="0"/>
                      <w:color w:val="FFFFFF"/>
                      <w:spacing w:val="-4"/>
                      <w:sz w:val="18"/>
                      <w:szCs w:val="18"/>
                      <w:u w:val="single"/>
                    </w:rPr>
                    <w:t>.gov.ua</w:t>
                  </w:r>
                  <w:proofErr w:type="spellEnd"/>
                  <w:r>
                    <w:rPr>
                      <w:rStyle w:val="a4"/>
                      <w:rFonts w:ascii="e-Ukraine" w:hAnsi="e-Ukraine" w:cs="Arial"/>
                      <w:b w:val="0"/>
                      <w:bCs w:val="0"/>
                      <w:color w:val="FFFFFF"/>
                      <w:spacing w:val="-4"/>
                      <w:sz w:val="18"/>
                      <w:szCs w:val="18"/>
                      <w:u w:val="single"/>
                    </w:rPr>
                    <w:t>.</w:t>
                  </w:r>
                </w:p>
                <w:p w:rsidR="00DE3648" w:rsidRDefault="00DE3648" w:rsidP="00DE3648">
                  <w:pPr>
                    <w:pStyle w:val="a3"/>
                    <w:spacing w:before="0" w:beforeAutospacing="0" w:after="0" w:afterAutospacing="0"/>
                    <w:jc w:val="center"/>
                    <w:rPr>
                      <w:rStyle w:val="a4"/>
                      <w:rFonts w:ascii="e-Ukraine" w:hAnsi="e-Ukraine" w:cs="Arial"/>
                      <w:b w:val="0"/>
                      <w:bCs w:val="0"/>
                      <w:color w:val="FFFFFF"/>
                      <w:spacing w:val="-4"/>
                      <w:sz w:val="18"/>
                      <w:szCs w:val="18"/>
                    </w:rPr>
                  </w:pPr>
                  <w:r>
                    <w:rPr>
                      <w:rStyle w:val="a4"/>
                      <w:rFonts w:ascii="e-Ukraine" w:hAnsi="e-Ukraine" w:cs="Arial"/>
                      <w:b w:val="0"/>
                      <w:bCs w:val="0"/>
                      <w:color w:val="FFFFFF"/>
                      <w:spacing w:val="-4"/>
                      <w:sz w:val="18"/>
                      <w:szCs w:val="18"/>
                    </w:rPr>
                    <w:t>Інформаційно-довідковий департамент ДПС України: 0-800-501-007.</w:t>
                  </w:r>
                </w:p>
                <w:p w:rsidR="00DE3648" w:rsidRDefault="00DE3648" w:rsidP="00DE3648">
                  <w:pPr>
                    <w:pStyle w:val="a3"/>
                    <w:spacing w:before="0" w:beforeAutospacing="0" w:after="0" w:afterAutospacing="0"/>
                    <w:jc w:val="center"/>
                    <w:rPr>
                      <w:rStyle w:val="a4"/>
                      <w:rFonts w:ascii="e-Ukraine" w:hAnsi="e-Ukraine" w:cs="Arial"/>
                      <w:b w:val="0"/>
                      <w:bCs w:val="0"/>
                      <w:color w:val="FFFFFF"/>
                      <w:spacing w:val="-4"/>
                      <w:sz w:val="18"/>
                      <w:szCs w:val="18"/>
                      <w:lang w:val="ru-RU"/>
                    </w:rPr>
                  </w:pPr>
                  <w:r>
                    <w:rPr>
                      <w:rStyle w:val="a4"/>
                      <w:rFonts w:ascii="e-Ukraine" w:hAnsi="e-Ukraine" w:cs="Arial"/>
                      <w:b w:val="0"/>
                      <w:bCs w:val="0"/>
                      <w:color w:val="FFFFFF"/>
                      <w:spacing w:val="-4"/>
                      <w:sz w:val="18"/>
                      <w:szCs w:val="18"/>
                    </w:rPr>
                    <w:t>"Гаряча лінія" ДПС України: "Пульс": 0-800-501-007 (напрямок «5»)</w:t>
                  </w:r>
                </w:p>
                <w:p w:rsidR="00DE3648" w:rsidRDefault="00DE3648" w:rsidP="00DE3648">
                  <w:pPr>
                    <w:pStyle w:val="a3"/>
                    <w:spacing w:before="0" w:beforeAutospacing="0" w:after="0" w:afterAutospacing="0"/>
                    <w:jc w:val="center"/>
                  </w:pPr>
                  <w:r>
                    <w:rPr>
                      <w:rStyle w:val="a4"/>
                      <w:rFonts w:ascii="e-Ukraine" w:hAnsi="e-Ukraine" w:cs="Arial"/>
                      <w:b w:val="0"/>
                      <w:bCs w:val="0"/>
                      <w:color w:val="FFFFFF"/>
                      <w:spacing w:val="-4"/>
                      <w:sz w:val="18"/>
                      <w:szCs w:val="18"/>
                    </w:rPr>
                    <w:t>Кваліфікований надавач електронних довірчих послуг: 0-800-501-007 (напрямок «4»)</w:t>
                  </w:r>
                </w:p>
              </w:txbxContent>
            </v:textbox>
          </v:shape>
        </w:pict>
      </w:r>
      <w:r w:rsidR="00257FFB" w:rsidRPr="00B67529">
        <w:rPr>
          <w:rFonts w:ascii="Arial" w:hAnsi="Arial" w:cs="Arial"/>
          <w:noProof/>
          <w:color w:val="000000"/>
          <w:sz w:val="25"/>
          <w:szCs w:val="25"/>
        </w:rPr>
        <w:t xml:space="preserve"> </w:t>
      </w:r>
    </w:p>
    <w:sectPr w:rsidR="00A458D3" w:rsidRPr="00DE3648"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A1DF8"/>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B30D9"/>
    <w:rsid w:val="001C0210"/>
    <w:rsid w:val="001D05BE"/>
    <w:rsid w:val="001D3E82"/>
    <w:rsid w:val="001D486B"/>
    <w:rsid w:val="001D7D7A"/>
    <w:rsid w:val="001E2CBD"/>
    <w:rsid w:val="001F7B59"/>
    <w:rsid w:val="002001F8"/>
    <w:rsid w:val="00204035"/>
    <w:rsid w:val="002069EB"/>
    <w:rsid w:val="002078FE"/>
    <w:rsid w:val="00211217"/>
    <w:rsid w:val="00213C54"/>
    <w:rsid w:val="00216391"/>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0777"/>
    <w:rsid w:val="002C2470"/>
    <w:rsid w:val="002C2CB6"/>
    <w:rsid w:val="002C3EEC"/>
    <w:rsid w:val="002C74D4"/>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556A7"/>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37E5"/>
    <w:rsid w:val="00474A96"/>
    <w:rsid w:val="00475C20"/>
    <w:rsid w:val="00476610"/>
    <w:rsid w:val="00494E32"/>
    <w:rsid w:val="004A0975"/>
    <w:rsid w:val="004A1F35"/>
    <w:rsid w:val="004A2F25"/>
    <w:rsid w:val="004A35BF"/>
    <w:rsid w:val="004A5C0C"/>
    <w:rsid w:val="004B2324"/>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133"/>
    <w:rsid w:val="005A0F9F"/>
    <w:rsid w:val="005A1F14"/>
    <w:rsid w:val="005A2085"/>
    <w:rsid w:val="005A7DBA"/>
    <w:rsid w:val="005B19D0"/>
    <w:rsid w:val="005B2DD5"/>
    <w:rsid w:val="005B75B1"/>
    <w:rsid w:val="005C5D5A"/>
    <w:rsid w:val="005C607E"/>
    <w:rsid w:val="005D13BA"/>
    <w:rsid w:val="005D1758"/>
    <w:rsid w:val="005D56A6"/>
    <w:rsid w:val="005D5D17"/>
    <w:rsid w:val="005D78B4"/>
    <w:rsid w:val="005E0041"/>
    <w:rsid w:val="005E1B90"/>
    <w:rsid w:val="005E5DD7"/>
    <w:rsid w:val="005E7E53"/>
    <w:rsid w:val="005F1108"/>
    <w:rsid w:val="005F6D14"/>
    <w:rsid w:val="00603CD7"/>
    <w:rsid w:val="00605834"/>
    <w:rsid w:val="006247C2"/>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C5302"/>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1E70"/>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1ED"/>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718"/>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E3648"/>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13499"/>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127B"/>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20"/>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758137372">
      <w:bodyDiv w:val="1"/>
      <w:marLeft w:val="0"/>
      <w:marRight w:val="0"/>
      <w:marTop w:val="0"/>
      <w:marBottom w:val="0"/>
      <w:divBdr>
        <w:top w:val="none" w:sz="0" w:space="0" w:color="auto"/>
        <w:left w:val="none" w:sz="0" w:space="0" w:color="auto"/>
        <w:bottom w:val="none" w:sz="0" w:space="0" w:color="auto"/>
        <w:right w:val="none" w:sz="0" w:space="0" w:color="auto"/>
      </w:divBdr>
    </w:div>
    <w:div w:id="866914009">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259681756">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 w:id="167379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68E6F-22C0-4BB1-ABAA-82C7B2FDE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2535</Characters>
  <Application>Microsoft Office Word</Application>
  <DocSecurity>0</DocSecurity>
  <Lines>21</Lines>
  <Paragraphs>5</Paragraphs>
  <ScaleCrop>false</ScaleCrop>
  <Company>SPecialiST RePack</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3</cp:revision>
  <cp:lastPrinted>2020-08-10T08:25:00Z</cp:lastPrinted>
  <dcterms:created xsi:type="dcterms:W3CDTF">2026-06-26T06:59:00Z</dcterms:created>
  <dcterms:modified xsi:type="dcterms:W3CDTF">2026-06-30T07:01:00Z</dcterms:modified>
</cp:coreProperties>
</file>