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A68A1">
      <w:pPr>
        <w:rPr>
          <w:rFonts w:ascii="e-Ukraine" w:hAnsi="e-Ukraine" w:cs="e-Ukraine"/>
        </w:rPr>
      </w:pPr>
      <w:r w:rsidRPr="005A68A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5A68A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A3F07" w:rsidRPr="008941E8" w:rsidRDefault="007A3F07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A3F07" w:rsidRPr="00534D03" w:rsidRDefault="007A3F07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A3F07" w:rsidRPr="008941E8" w:rsidRDefault="007A3F07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A3F07" w:rsidRPr="008941E8" w:rsidRDefault="007A3F07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5A68A1">
      <w:pPr>
        <w:rPr>
          <w:rFonts w:ascii="e-Ukraine" w:hAnsi="e-Ukraine" w:cs="e-Ukraine"/>
        </w:rPr>
      </w:pPr>
      <w:r w:rsidRPr="005A68A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5A68A1">
      <w:pPr>
        <w:rPr>
          <w:rFonts w:ascii="e-Ukraine" w:hAnsi="e-Ukraine" w:cs="e-Ukraine"/>
        </w:rPr>
      </w:pPr>
      <w:r w:rsidRPr="005A68A1">
        <w:rPr>
          <w:noProof/>
          <w:lang w:val="ru-RU" w:eastAsia="ru-RU"/>
        </w:rPr>
        <w:pict>
          <v:shape id="Поле 8" o:spid="_x0000_s1029" type="#_x0000_t202" style="position:absolute;margin-left:-4.8pt;margin-top:21pt;width:363pt;height:75.3pt;z-index:251657728;visibility:visible;v-text-anchor:middle" filled="f" stroked="f" strokeweight=".5pt">
            <v:textbox style="mso-next-textbox:#Поле 8">
              <w:txbxContent>
                <w:p w:rsidR="007A3F07" w:rsidRPr="00EF4D6E" w:rsidRDefault="007A3F07" w:rsidP="006F4438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1311D5">
                    <w:rPr>
                      <w:rFonts w:ascii="Arial Black" w:hAnsi="Arial Black"/>
                      <w:sz w:val="28"/>
                      <w:szCs w:val="28"/>
                    </w:rPr>
                    <w:t>Управління</w:t>
                  </w:r>
                  <w:proofErr w:type="spellEnd"/>
                  <w:r w:rsidRPr="001311D5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311D5">
                    <w:rPr>
                      <w:rFonts w:ascii="Arial Black" w:hAnsi="Arial Black"/>
                      <w:sz w:val="28"/>
                      <w:szCs w:val="28"/>
                    </w:rPr>
                    <w:t>комплаєнс-ризиками</w:t>
                  </w:r>
                  <w:proofErr w:type="spellEnd"/>
                  <w:r w:rsidRPr="006F443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4438">
                    <w:rPr>
                      <w:rFonts w:ascii="Arial Black" w:hAnsi="Arial Black"/>
                      <w:sz w:val="28"/>
                      <w:szCs w:val="28"/>
                    </w:rPr>
                    <w:t>охоплює</w:t>
                  </w:r>
                  <w:proofErr w:type="spellEnd"/>
                  <w:r w:rsidRPr="006F443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4438">
                    <w:rPr>
                      <w:rFonts w:ascii="Arial Black" w:hAnsi="Arial Black"/>
                      <w:sz w:val="28"/>
                      <w:szCs w:val="28"/>
                    </w:rPr>
                    <w:t>основні</w:t>
                  </w:r>
                  <w:proofErr w:type="spellEnd"/>
                  <w:r w:rsidRPr="006F443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4438">
                    <w:rPr>
                      <w:rFonts w:ascii="Arial Black" w:hAnsi="Arial Black"/>
                      <w:sz w:val="28"/>
                      <w:szCs w:val="28"/>
                    </w:rPr>
                    <w:t>обов’язки</w:t>
                  </w:r>
                  <w:proofErr w:type="spellEnd"/>
                  <w:r w:rsidRPr="006F443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4438">
                    <w:rPr>
                      <w:rFonts w:ascii="Arial Black" w:hAnsi="Arial Black"/>
                      <w:sz w:val="28"/>
                      <w:szCs w:val="28"/>
                    </w:rPr>
                    <w:t>платника</w:t>
                  </w:r>
                  <w:proofErr w:type="spellEnd"/>
                  <w:r w:rsidRPr="006F443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4438">
                    <w:rPr>
                      <w:rFonts w:ascii="Arial Black" w:hAnsi="Arial Black"/>
                      <w:sz w:val="28"/>
                      <w:szCs w:val="28"/>
                    </w:rPr>
                    <w:t>податків</w:t>
                  </w:r>
                  <w:proofErr w:type="spellEnd"/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315BB8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5A68A1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5pt;width:190pt;height:26.35pt;z-index:251656704;visibility:visible" filled="f" stroked="f" strokeweight=".5pt">
            <v:textbox style="mso-next-textbox:#Поле 9">
              <w:txbxContent>
                <w:p w:rsidR="007A3F07" w:rsidRPr="00B67529" w:rsidRDefault="007A3F07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травень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A3F07" w:rsidRDefault="007A3F07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A3F07" w:rsidRPr="00026C80" w:rsidRDefault="007A3F07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1311D5" w:rsidRPr="00315BB8" w:rsidRDefault="00B23C1D" w:rsidP="006F4438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lang w:eastAsia="ru-RU"/>
        </w:rPr>
      </w:pPr>
      <w:r w:rsidRPr="00315BB8">
        <w:rPr>
          <w:rFonts w:ascii="Arial" w:hAnsi="Arial" w:cs="Arial"/>
          <w:noProof/>
          <w:color w:val="00000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315BB8">
        <w:rPr>
          <w:rFonts w:ascii="Arial" w:hAnsi="Arial" w:cs="Arial"/>
          <w:noProof/>
          <w:color w:val="000000"/>
        </w:rPr>
        <w:t>айо</w:t>
      </w:r>
      <w:r w:rsidRPr="00315BB8">
        <w:rPr>
          <w:rFonts w:ascii="Arial" w:hAnsi="Arial" w:cs="Arial"/>
          <w:noProof/>
          <w:color w:val="000000"/>
        </w:rPr>
        <w:t>н</w:t>
      </w:r>
      <w:r w:rsidR="009A3C86" w:rsidRPr="00315BB8">
        <w:rPr>
          <w:rFonts w:ascii="Arial" w:hAnsi="Arial" w:cs="Arial"/>
          <w:noProof/>
          <w:color w:val="000000"/>
        </w:rPr>
        <w:t>)</w:t>
      </w:r>
      <w:r w:rsidR="00E4784B" w:rsidRPr="00315BB8">
        <w:rPr>
          <w:rFonts w:ascii="Arial" w:hAnsi="Arial" w:cs="Arial"/>
          <w:noProof/>
          <w:color w:val="000000"/>
        </w:rPr>
        <w:t xml:space="preserve"> </w:t>
      </w:r>
      <w:r w:rsidR="001311D5" w:rsidRPr="00315BB8">
        <w:rPr>
          <w:rFonts w:ascii="Arial" w:hAnsi="Arial" w:cs="Arial"/>
          <w:lang w:eastAsia="ru-RU"/>
        </w:rPr>
        <w:t xml:space="preserve">нагадує, що один з ключових напрямів реформування ДПС – реалізація експериментального </w:t>
      </w:r>
      <w:proofErr w:type="spellStart"/>
      <w:r w:rsidR="001311D5" w:rsidRPr="00315BB8">
        <w:rPr>
          <w:rFonts w:ascii="Arial" w:hAnsi="Arial" w:cs="Arial"/>
          <w:lang w:eastAsia="ru-RU"/>
        </w:rPr>
        <w:t>проєкту</w:t>
      </w:r>
      <w:proofErr w:type="spellEnd"/>
      <w:r w:rsidR="001311D5" w:rsidRPr="00315BB8">
        <w:rPr>
          <w:rFonts w:ascii="Arial" w:hAnsi="Arial" w:cs="Arial"/>
          <w:lang w:eastAsia="ru-RU"/>
        </w:rPr>
        <w:t xml:space="preserve"> щодо функціонування системи управління податковими ризиками (</w:t>
      </w:r>
      <w:proofErr w:type="spellStart"/>
      <w:r w:rsidR="001311D5" w:rsidRPr="00315BB8">
        <w:rPr>
          <w:rFonts w:ascii="Arial" w:hAnsi="Arial" w:cs="Arial"/>
          <w:lang w:eastAsia="ru-RU"/>
        </w:rPr>
        <w:t>комплаєнс-ризиками</w:t>
      </w:r>
      <w:proofErr w:type="spellEnd"/>
      <w:r w:rsidR="001311D5" w:rsidRPr="00315BB8">
        <w:rPr>
          <w:rFonts w:ascii="Arial" w:hAnsi="Arial" w:cs="Arial"/>
          <w:lang w:eastAsia="ru-RU"/>
        </w:rPr>
        <w:t xml:space="preserve">). </w:t>
      </w:r>
    </w:p>
    <w:p w:rsidR="001311D5" w:rsidRPr="00315BB8" w:rsidRDefault="001311D5" w:rsidP="006F4438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315BB8">
        <w:rPr>
          <w:rFonts w:ascii="Arial" w:hAnsi="Arial" w:cs="Arial"/>
          <w:sz w:val="24"/>
          <w:szCs w:val="24"/>
          <w:lang w:eastAsia="ru-RU"/>
        </w:rPr>
        <w:t xml:space="preserve">Метою реалізації цього експериментального </w:t>
      </w:r>
      <w:proofErr w:type="spellStart"/>
      <w:r w:rsidRPr="00315BB8">
        <w:rPr>
          <w:rFonts w:ascii="Arial" w:hAnsi="Arial" w:cs="Arial"/>
          <w:sz w:val="24"/>
          <w:szCs w:val="24"/>
          <w:lang w:eastAsia="ru-RU"/>
        </w:rPr>
        <w:t>проєкту</w:t>
      </w:r>
      <w:proofErr w:type="spellEnd"/>
      <w:r w:rsidRPr="00315BB8">
        <w:rPr>
          <w:rFonts w:ascii="Arial" w:hAnsi="Arial" w:cs="Arial"/>
          <w:sz w:val="24"/>
          <w:szCs w:val="24"/>
          <w:lang w:eastAsia="ru-RU"/>
        </w:rPr>
        <w:t xml:space="preserve"> є впровадження в організацію та діяльність ДПС міжнародних підходів до управління, які ґрунтуються на управлінні податковими ризиками, щодо підвищення рівня дотримання платниками податків своїх податкових обов’язків. </w:t>
      </w:r>
    </w:p>
    <w:p w:rsidR="001311D5" w:rsidRPr="00315BB8" w:rsidRDefault="001311D5" w:rsidP="006F4438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315BB8">
        <w:rPr>
          <w:rFonts w:ascii="Arial" w:hAnsi="Arial" w:cs="Arial"/>
          <w:sz w:val="24"/>
          <w:szCs w:val="24"/>
          <w:lang w:eastAsia="ru-RU"/>
        </w:rPr>
        <w:t xml:space="preserve">Цей </w:t>
      </w:r>
      <w:proofErr w:type="spellStart"/>
      <w:r w:rsidRPr="00315BB8">
        <w:rPr>
          <w:rFonts w:ascii="Arial" w:hAnsi="Arial" w:cs="Arial"/>
          <w:sz w:val="24"/>
          <w:szCs w:val="24"/>
          <w:lang w:eastAsia="ru-RU"/>
        </w:rPr>
        <w:t>проєкт</w:t>
      </w:r>
      <w:proofErr w:type="spellEnd"/>
      <w:r w:rsidRPr="00315BB8">
        <w:rPr>
          <w:rFonts w:ascii="Arial" w:hAnsi="Arial" w:cs="Arial"/>
          <w:sz w:val="24"/>
          <w:szCs w:val="24"/>
          <w:lang w:eastAsia="ru-RU"/>
        </w:rPr>
        <w:t xml:space="preserve"> – складова реалізації Національної стратегії доходів до 2030 року, який відбувається відповідно до постанови Кабінету Міністрів України від 25 липня 2024 року № 854. </w:t>
      </w:r>
    </w:p>
    <w:p w:rsidR="001311D5" w:rsidRPr="00315BB8" w:rsidRDefault="001311D5" w:rsidP="006F4438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315BB8">
        <w:rPr>
          <w:rFonts w:ascii="Arial" w:hAnsi="Arial" w:cs="Arial"/>
          <w:sz w:val="24"/>
          <w:szCs w:val="24"/>
          <w:lang w:eastAsia="ru-RU"/>
        </w:rPr>
        <w:t xml:space="preserve">Згідно з Податковим кодексом України (далі – ПКУ), </w:t>
      </w:r>
      <w:proofErr w:type="spellStart"/>
      <w:r w:rsidRPr="00315BB8">
        <w:rPr>
          <w:rFonts w:ascii="Arial" w:hAnsi="Arial" w:cs="Arial"/>
          <w:sz w:val="24"/>
          <w:szCs w:val="24"/>
          <w:lang w:eastAsia="ru-RU"/>
        </w:rPr>
        <w:t>комплаєнс</w:t>
      </w:r>
      <w:proofErr w:type="spellEnd"/>
      <w:r w:rsidRPr="00315BB8">
        <w:rPr>
          <w:rFonts w:ascii="Arial" w:hAnsi="Arial" w:cs="Arial"/>
          <w:sz w:val="24"/>
          <w:szCs w:val="24"/>
          <w:lang w:eastAsia="ru-RU"/>
        </w:rPr>
        <w:t xml:space="preserve"> – це система заходів та процедур, що здійснюються податковими органами з метою підвищення рівня добровільного виконання податкових та інших </w:t>
      </w:r>
      <w:proofErr w:type="spellStart"/>
      <w:r w:rsidRPr="00315BB8">
        <w:rPr>
          <w:rFonts w:ascii="Arial" w:hAnsi="Arial" w:cs="Arial"/>
          <w:sz w:val="24"/>
          <w:szCs w:val="24"/>
          <w:lang w:eastAsia="ru-RU"/>
        </w:rPr>
        <w:t>обовʼязків</w:t>
      </w:r>
      <w:proofErr w:type="spellEnd"/>
      <w:r w:rsidRPr="00315BB8">
        <w:rPr>
          <w:rFonts w:ascii="Arial" w:hAnsi="Arial" w:cs="Arial"/>
          <w:sz w:val="24"/>
          <w:szCs w:val="24"/>
          <w:lang w:eastAsia="ru-RU"/>
        </w:rPr>
        <w:t xml:space="preserve"> платниками податків, відповідно до вимог податкового та іншого законодавства, контроль за дотриманням якого покладено на органи ДПС, та зменшення ймовірності настання податкового ризику (</w:t>
      </w:r>
      <w:proofErr w:type="spellStart"/>
      <w:r w:rsidRPr="00315BB8">
        <w:rPr>
          <w:rFonts w:ascii="Arial" w:hAnsi="Arial" w:cs="Arial"/>
          <w:sz w:val="24"/>
          <w:szCs w:val="24"/>
          <w:lang w:eastAsia="ru-RU"/>
        </w:rPr>
        <w:t>комплаєнс-ризику</w:t>
      </w:r>
      <w:proofErr w:type="spellEnd"/>
      <w:r w:rsidRPr="00315BB8">
        <w:rPr>
          <w:rFonts w:ascii="Arial" w:hAnsi="Arial" w:cs="Arial"/>
          <w:sz w:val="24"/>
          <w:szCs w:val="24"/>
          <w:lang w:eastAsia="ru-RU"/>
        </w:rPr>
        <w:t xml:space="preserve">). </w:t>
      </w:r>
    </w:p>
    <w:p w:rsidR="001311D5" w:rsidRPr="00315BB8" w:rsidRDefault="001311D5" w:rsidP="006F4438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315BB8">
        <w:rPr>
          <w:rFonts w:ascii="Arial" w:hAnsi="Arial" w:cs="Arial"/>
          <w:sz w:val="24"/>
          <w:szCs w:val="24"/>
          <w:lang w:eastAsia="ru-RU"/>
        </w:rPr>
        <w:t xml:space="preserve">Управління </w:t>
      </w:r>
      <w:proofErr w:type="spellStart"/>
      <w:r w:rsidRPr="00315BB8">
        <w:rPr>
          <w:rFonts w:ascii="Arial" w:hAnsi="Arial" w:cs="Arial"/>
          <w:sz w:val="24"/>
          <w:szCs w:val="24"/>
          <w:lang w:eastAsia="ru-RU"/>
        </w:rPr>
        <w:t>комплаєнс-ризиками</w:t>
      </w:r>
      <w:proofErr w:type="spellEnd"/>
      <w:r w:rsidRPr="00315BB8">
        <w:rPr>
          <w:rFonts w:ascii="Arial" w:hAnsi="Arial" w:cs="Arial"/>
          <w:sz w:val="24"/>
          <w:szCs w:val="24"/>
          <w:lang w:eastAsia="ru-RU"/>
        </w:rPr>
        <w:t xml:space="preserve"> охоплює базові/основні обов’язки платника податків, визначені ПКУ: </w:t>
      </w:r>
    </w:p>
    <w:p w:rsidR="001311D5" w:rsidRPr="00315BB8" w:rsidRDefault="001311D5" w:rsidP="006F4438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315BB8">
        <w:rPr>
          <w:rFonts w:ascii="Arial" w:hAnsi="Arial" w:cs="Arial"/>
          <w:sz w:val="24"/>
          <w:szCs w:val="24"/>
          <w:lang w:eastAsia="ru-RU"/>
        </w:rPr>
        <w:t xml:space="preserve">- реєстрації платником податку;  </w:t>
      </w:r>
    </w:p>
    <w:p w:rsidR="001311D5" w:rsidRPr="00315BB8" w:rsidRDefault="001311D5" w:rsidP="006F4438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315BB8">
        <w:rPr>
          <w:rFonts w:ascii="Arial" w:hAnsi="Arial" w:cs="Arial"/>
          <w:sz w:val="24"/>
          <w:szCs w:val="24"/>
          <w:lang w:eastAsia="ru-RU"/>
        </w:rPr>
        <w:t xml:space="preserve">- подання звітності;  </w:t>
      </w:r>
    </w:p>
    <w:p w:rsidR="001311D5" w:rsidRPr="00315BB8" w:rsidRDefault="001311D5" w:rsidP="006F4438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315BB8">
        <w:rPr>
          <w:rFonts w:ascii="Arial" w:hAnsi="Arial" w:cs="Arial"/>
          <w:sz w:val="24"/>
          <w:szCs w:val="24"/>
          <w:lang w:eastAsia="ru-RU"/>
        </w:rPr>
        <w:t xml:space="preserve">- повне декларування; </w:t>
      </w:r>
    </w:p>
    <w:p w:rsidR="001311D5" w:rsidRPr="00315BB8" w:rsidRDefault="001311D5" w:rsidP="006F4438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315BB8">
        <w:rPr>
          <w:rFonts w:ascii="Arial" w:hAnsi="Arial" w:cs="Arial"/>
          <w:sz w:val="24"/>
          <w:szCs w:val="24"/>
          <w:lang w:eastAsia="ru-RU"/>
        </w:rPr>
        <w:t xml:space="preserve">- своєчасна сплата належних бюджету платежів. </w:t>
      </w:r>
    </w:p>
    <w:p w:rsidR="001311D5" w:rsidRPr="00315BB8" w:rsidRDefault="001311D5" w:rsidP="006F4438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315BB8">
        <w:rPr>
          <w:rFonts w:ascii="Arial" w:hAnsi="Arial" w:cs="Arial"/>
          <w:sz w:val="24"/>
          <w:szCs w:val="24"/>
          <w:lang w:eastAsia="ru-RU"/>
        </w:rPr>
        <w:t xml:space="preserve">Завдання – здійснити аналіз, визначити найбільші ризики, </w:t>
      </w:r>
      <w:proofErr w:type="spellStart"/>
      <w:r w:rsidRPr="00315BB8">
        <w:rPr>
          <w:rFonts w:ascii="Arial" w:hAnsi="Arial" w:cs="Arial"/>
          <w:sz w:val="24"/>
          <w:szCs w:val="24"/>
          <w:lang w:eastAsia="ru-RU"/>
        </w:rPr>
        <w:t>зʼясувати</w:t>
      </w:r>
      <w:proofErr w:type="spellEnd"/>
      <w:r w:rsidRPr="00315BB8">
        <w:rPr>
          <w:rFonts w:ascii="Arial" w:hAnsi="Arial" w:cs="Arial"/>
          <w:sz w:val="24"/>
          <w:szCs w:val="24"/>
          <w:lang w:eastAsia="ru-RU"/>
        </w:rPr>
        <w:t xml:space="preserve"> їх причину та спрямувати роботу ДПС для досягнення максимального ефекту в умовах обмежених трудових ресурсів, забезпечити однаковий, справедливий і неупереджений підхід до всіх платників. </w:t>
      </w:r>
    </w:p>
    <w:p w:rsidR="001311D5" w:rsidRPr="00315BB8" w:rsidRDefault="001311D5" w:rsidP="00884E4B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315BB8">
        <w:rPr>
          <w:rFonts w:ascii="Arial" w:hAnsi="Arial" w:cs="Arial"/>
          <w:sz w:val="24"/>
          <w:szCs w:val="24"/>
          <w:lang w:eastAsia="ru-RU"/>
        </w:rPr>
        <w:t xml:space="preserve">Реалізація експериментального </w:t>
      </w:r>
      <w:proofErr w:type="spellStart"/>
      <w:r w:rsidRPr="00315BB8">
        <w:rPr>
          <w:rFonts w:ascii="Arial" w:hAnsi="Arial" w:cs="Arial"/>
          <w:sz w:val="24"/>
          <w:szCs w:val="24"/>
          <w:lang w:eastAsia="ru-RU"/>
        </w:rPr>
        <w:t>проєкту</w:t>
      </w:r>
      <w:proofErr w:type="spellEnd"/>
      <w:r w:rsidRPr="00315BB8">
        <w:rPr>
          <w:rFonts w:ascii="Arial" w:hAnsi="Arial" w:cs="Arial"/>
          <w:sz w:val="24"/>
          <w:szCs w:val="24"/>
          <w:lang w:eastAsia="ru-RU"/>
        </w:rPr>
        <w:t xml:space="preserve"> забезпечить систематизацію та впорядкування діяльності податкових органів з управління </w:t>
      </w:r>
      <w:proofErr w:type="spellStart"/>
      <w:r w:rsidRPr="00315BB8">
        <w:rPr>
          <w:rFonts w:ascii="Arial" w:hAnsi="Arial" w:cs="Arial"/>
          <w:sz w:val="24"/>
          <w:szCs w:val="24"/>
          <w:lang w:eastAsia="ru-RU"/>
        </w:rPr>
        <w:t>комплаєнс-ризиками</w:t>
      </w:r>
      <w:proofErr w:type="spellEnd"/>
      <w:r w:rsidRPr="00315BB8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050567" w:rsidRDefault="00050567" w:rsidP="00EF4D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315BB8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5A68A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7.2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A3F07" w:rsidRPr="00315BB8" w:rsidRDefault="007A3F07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A3F07" w:rsidRPr="00315BB8" w:rsidRDefault="007A3F07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7A3F07" w:rsidRPr="00315BB8" w:rsidRDefault="007A3F07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7A3F07" w:rsidRPr="00315BB8" w:rsidRDefault="007A3F07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315BB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7A3F07" w:rsidRPr="00315BB8" w:rsidRDefault="007A3F07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1D5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15BB8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5B8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78E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68A1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4FBB"/>
    <w:rsid w:val="006C5302"/>
    <w:rsid w:val="006D02FF"/>
    <w:rsid w:val="006D3D58"/>
    <w:rsid w:val="006D4446"/>
    <w:rsid w:val="006D4D7F"/>
    <w:rsid w:val="006D577A"/>
    <w:rsid w:val="006D7EF8"/>
    <w:rsid w:val="006E6DDC"/>
    <w:rsid w:val="006F4438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A3F0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84E4B"/>
    <w:rsid w:val="0088721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E692D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322C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6C36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4D6E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0C0F"/>
    <w:rsid w:val="00FA29E9"/>
    <w:rsid w:val="00FA3F03"/>
    <w:rsid w:val="00FA718C"/>
    <w:rsid w:val="00FB0BA7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5638A-91F4-43C5-AE53-DB1BCB9B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2026-05-27T08:57:00Z</dcterms:created>
  <dcterms:modified xsi:type="dcterms:W3CDTF">2026-05-27T13:40:00Z</dcterms:modified>
</cp:coreProperties>
</file>