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45EDC">
      <w:pPr>
        <w:rPr>
          <w:rFonts w:ascii="e-Ukraine" w:hAnsi="e-Ukraine" w:cs="e-Ukraine"/>
        </w:rPr>
      </w:pPr>
      <w:r w:rsidRPr="00145ED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490C6A" w:rsidRPr="000C61A6" w:rsidRDefault="00490C6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C61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490C6A" w:rsidRPr="000C61A6" w:rsidRDefault="00490C6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490C6A" w:rsidRPr="000C61A6" w:rsidRDefault="00490C6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C61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490C6A" w:rsidRPr="000C61A6" w:rsidRDefault="00490C6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C61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145ED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145EDC">
      <w:pPr>
        <w:rPr>
          <w:rFonts w:ascii="e-Ukraine" w:hAnsi="e-Ukraine" w:cs="e-Ukraine"/>
        </w:rPr>
      </w:pPr>
      <w:r w:rsidRPr="00145ED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45EDC">
      <w:pPr>
        <w:rPr>
          <w:rFonts w:ascii="e-Ukraine" w:hAnsi="e-Ukraine" w:cs="e-Ukraine"/>
        </w:rPr>
      </w:pPr>
      <w:r w:rsidRPr="00145EDC">
        <w:rPr>
          <w:noProof/>
          <w:lang w:val="ru-RU" w:eastAsia="ru-RU"/>
        </w:rPr>
        <w:pict>
          <v:shape id="Поле 8" o:spid="_x0000_s1029" type="#_x0000_t202" style="position:absolute;margin-left:-4.8pt;margin-top:21pt;width:418pt;height:48.65pt;z-index:251657728;visibility:visible;v-text-anchor:middle" filled="f" stroked="f" strokeweight=".5pt">
            <v:textbox style="mso-next-textbox:#Поле 8">
              <w:txbxContent>
                <w:p w:rsidR="00490C6A" w:rsidRPr="00286171" w:rsidRDefault="00490C6A" w:rsidP="0028617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r w:rsidRPr="00286171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Отримання відомостей про доходи: алгоритм дій платника</w:t>
                  </w:r>
                </w:p>
                <w:p w:rsidR="00490C6A" w:rsidRPr="00D51CEF" w:rsidRDefault="00490C6A" w:rsidP="0092409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90C6A" w:rsidRDefault="00490C6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490C6A" w:rsidRPr="00AF5BEE" w:rsidRDefault="00490C6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90C6A" w:rsidRPr="002078FE" w:rsidRDefault="00490C6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490C6A" w:rsidRPr="002078FE" w:rsidRDefault="00490C6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490C6A" w:rsidRPr="00AF3176" w:rsidRDefault="00490C6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CC5BCE" w:rsidRPr="000C61A6" w:rsidRDefault="00145EDC" w:rsidP="006D4F96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45ED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4.25pt;width:190pt;height:21.65pt;z-index:251656704;visibility:visible" filled="f" stroked="f" strokeweight=".5pt">
            <v:textbox style="mso-next-textbox:#Поле 9">
              <w:txbxContent>
                <w:p w:rsidR="00490C6A" w:rsidRPr="000C61A6" w:rsidRDefault="00490C6A" w:rsidP="006D4F9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0C61A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490C6A" w:rsidRPr="000C61A6" w:rsidRDefault="00490C6A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490C6A" w:rsidRPr="000C61A6" w:rsidRDefault="00490C6A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0C61A6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0C61A6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0C61A6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0C61A6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0C61A6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0C61A6" w:rsidRDefault="00050567" w:rsidP="006D4F96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C61A6" w:rsidRDefault="000C61A6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</w:p>
    <w:p w:rsidR="0092409E" w:rsidRPr="00286171" w:rsidRDefault="00B23C1D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89462E" w:rsidRPr="0089462E">
        <w:rPr>
          <w:rFonts w:ascii="e-Ukraine" w:hAnsi="e-Ukraine" w:cs="Times New Roman"/>
          <w:sz w:val="22"/>
          <w:szCs w:val="22"/>
        </w:rPr>
        <w:t>м. Дніпро</w:t>
      </w:r>
      <w:r w:rsidR="009A3C86" w:rsidRPr="00286171">
        <w:rPr>
          <w:rFonts w:ascii="e-Ukraine" w:hAnsi="e-Ukraine" w:cs="Times New Roman"/>
          <w:sz w:val="22"/>
          <w:szCs w:val="22"/>
        </w:rPr>
        <w:t>)</w:t>
      </w:r>
      <w:r w:rsidR="00E4784B" w:rsidRPr="00286171">
        <w:rPr>
          <w:rFonts w:ascii="e-Ukraine" w:hAnsi="e-Ukraine" w:cs="Times New Roman"/>
          <w:sz w:val="22"/>
          <w:szCs w:val="22"/>
        </w:rPr>
        <w:t xml:space="preserve"> 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нагадує, що триває Деклараційна кампанія – 2026.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Щоб правильно заповнити податкову декларацію про майновий стан і доходи (далі – Декларація) і, що особливо важливо, – уникнути помилок, необхідно мати достовірну інформацію про отримані доходи, яка міститься у Державному реєстрі фізичних осіб – платників податків.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Це можливо зробити у різні способи.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Легко та зручно через Електронний кабінет: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увійдіть до Електронного кабінету (за допомогою файлового ключа, апаратного ключа, хмарного сховища, </w:t>
      </w:r>
      <w:proofErr w:type="spellStart"/>
      <w:r w:rsidR="0092409E" w:rsidRPr="00286171">
        <w:rPr>
          <w:rFonts w:ascii="e-Ukraine" w:hAnsi="e-Ukraine" w:cs="Times New Roman"/>
          <w:sz w:val="22"/>
          <w:szCs w:val="22"/>
        </w:rPr>
        <w:t>id.gov.ua</w:t>
      </w:r>
      <w:proofErr w:type="spellEnd"/>
      <w:r w:rsidR="0092409E" w:rsidRPr="00286171">
        <w:rPr>
          <w:rFonts w:ascii="e-Ukraine" w:hAnsi="e-Ukraine" w:cs="Times New Roman"/>
          <w:sz w:val="22"/>
          <w:szCs w:val="22"/>
        </w:rPr>
        <w:t xml:space="preserve"> або </w:t>
      </w:r>
      <w:proofErr w:type="spellStart"/>
      <w:r w:rsidR="0092409E" w:rsidRPr="00286171">
        <w:rPr>
          <w:rFonts w:ascii="e-Ukraine" w:hAnsi="e-Ukraine" w:cs="Times New Roman"/>
          <w:sz w:val="22"/>
          <w:szCs w:val="22"/>
        </w:rPr>
        <w:t>Дія.Підпис</w:t>
      </w:r>
      <w:proofErr w:type="spellEnd"/>
      <w:r w:rsidR="0092409E" w:rsidRPr="00286171">
        <w:rPr>
          <w:rFonts w:ascii="e-Ukraine" w:hAnsi="e-Ukraine" w:cs="Times New Roman"/>
          <w:sz w:val="22"/>
          <w:szCs w:val="22"/>
        </w:rPr>
        <w:t xml:space="preserve">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 меню зліва оберіть розділ «ЕК для громадян»;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натисніть «Запит про суми виплачених доходів» та оберіть «Створити»;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вкажіть період та підпишіть запит;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відповідь надійде у розділ «Вхідні/вихідні документи» протягом декількох хвилин.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Мобільний додаток «Моя податкова» 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Додаток доступний в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App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Store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 та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Google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Play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: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увійдіть у додаток за допомогою електронного ключа або хмарного сховища;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 розділі «Послуги» оберіть «Запит про суми виплачених доходів» та оберіть «+»;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вкажіть період та підпишіть запит;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відповідь надійде у розділ «Запит про суми виплачених доходів» протягом декількох хвилин.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Для отримання відомостей про доходи можна також звернутися до Центру обслуговування платників. Громадяни з порушенням слуху мають можливість безперешкодно спілкуватися з працівниками ДПС за допомогою послуги перекладу жестовою мовою у форматі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відеозв’язку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Необхідно мати: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документ, що посвідчує особу (паспорт громадянина України, посвідка на постійне проживання, посвідка на тимчасове проживання, посвідчення біженця тощо);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РНОКПП (реєстраційний номер облікової картки платника податків);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заява (заповнюється на місці за формою № 10ДР);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довіреність, засвідчена в нотаріальному порядку, яка додається до заяви, якщо за відомостями звертається представник.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Відомості надаються протягом 3 робочих днів з дня звернення особисто фізичній особі або її представнику. </w:t>
      </w:r>
    </w:p>
    <w:p w:rsidR="00050567" w:rsidRPr="00286171" w:rsidRDefault="00050567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B7450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145ED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0.35pt;width:500pt;height:56.05pt;z-index:251660800;visibility:visible" fillcolor="#0070c0" stroked="f" strokeweight=".5pt">
            <v:textbox style="mso-next-textbox:#Поле 10">
              <w:txbxContent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B7450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 w:rsidR="00B7450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 (напрямок «5</w:t>
                  </w: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</w:t>
                  </w:r>
                  <w:r w:rsidR="00B7450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7 (напрямок «4</w:t>
                  </w: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664"/>
    <w:rsid w:val="00054B6E"/>
    <w:rsid w:val="0005556E"/>
    <w:rsid w:val="00057F05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61A6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5EDC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6171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0C6A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4921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55D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7FB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4F96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1DBF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8739F"/>
    <w:rsid w:val="008941E8"/>
    <w:rsid w:val="0089462E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09E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502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7E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568A2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3C9D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9E49-4541-4C77-9A5A-EF60DBCC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2026-04-21T07:41:00Z</dcterms:created>
  <dcterms:modified xsi:type="dcterms:W3CDTF">2026-05-12T10:45:00Z</dcterms:modified>
</cp:coreProperties>
</file>