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7F64A0">
      <w:pPr>
        <w:rPr>
          <w:rFonts w:ascii="e-Ukraine" w:hAnsi="e-Ukraine" w:cs="e-Ukraine"/>
        </w:rPr>
      </w:pPr>
      <w:r w:rsidRPr="007F64A0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5.05pt;z-index:251655680;visibility:visible" filled="f" stroked="f" strokeweight=".5pt">
            <v:textbox style="mso-next-textbox:#Поле 21">
              <w:txbxContent>
                <w:p w:rsidR="0089208F" w:rsidRPr="0089208F" w:rsidRDefault="0089208F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89208F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89208F" w:rsidRPr="0089208F" w:rsidRDefault="0089208F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89208F" w:rsidRPr="0089208F" w:rsidRDefault="0089208F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89208F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89208F" w:rsidRPr="0089208F" w:rsidRDefault="0089208F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89208F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7F64A0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7F64A0">
      <w:pPr>
        <w:rPr>
          <w:rFonts w:ascii="e-Ukraine" w:hAnsi="e-Ukraine" w:cs="e-Ukraine"/>
        </w:rPr>
      </w:pPr>
      <w:r w:rsidRPr="007F64A0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7F64A0">
      <w:pPr>
        <w:rPr>
          <w:rFonts w:ascii="e-Ukraine" w:hAnsi="e-Ukraine" w:cs="e-Ukraine"/>
        </w:rPr>
      </w:pPr>
      <w:r w:rsidRPr="007F64A0">
        <w:rPr>
          <w:noProof/>
          <w:sz w:val="24"/>
          <w:szCs w:val="24"/>
          <w:lang w:val="ru-RU" w:eastAsia="ru-RU"/>
        </w:rPr>
        <w:pict>
          <v:shape id="Поле 8" o:spid="_x0000_s1029" type="#_x0000_t202" style="position:absolute;margin-left:-4.8pt;margin-top:9.7pt;width:433pt;height:51.75pt;z-index:251657728;visibility:visible;v-text-anchor:middle" filled="f" stroked="f" strokeweight=".5pt">
            <v:textbox style="mso-next-textbox:#Поле 8">
              <w:txbxContent>
                <w:p w:rsidR="0089208F" w:rsidRPr="007B4380" w:rsidRDefault="0089208F" w:rsidP="007B4380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6"/>
                      <w:szCs w:val="36"/>
                      <w:lang w:eastAsia="uk-UA"/>
                    </w:rPr>
                  </w:pPr>
                  <w:r w:rsidRPr="007B4380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6"/>
                      <w:szCs w:val="36"/>
                      <w:lang w:eastAsia="uk-UA"/>
                    </w:rPr>
                    <w:t xml:space="preserve">Управління </w:t>
                  </w:r>
                  <w:proofErr w:type="spellStart"/>
                  <w:r w:rsidRPr="007B4380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6"/>
                      <w:szCs w:val="36"/>
                      <w:lang w:eastAsia="uk-UA"/>
                    </w:rPr>
                    <w:t>комплаєнс-ризиками</w:t>
                  </w:r>
                  <w:proofErr w:type="spellEnd"/>
                  <w:r w:rsidRPr="007B4380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6"/>
                      <w:szCs w:val="36"/>
                      <w:lang w:eastAsia="uk-UA"/>
                    </w:rPr>
                    <w:t xml:space="preserve"> охоплює основні обов’язки платника податків</w:t>
                  </w:r>
                </w:p>
                <w:p w:rsidR="0089208F" w:rsidRPr="00AE7859" w:rsidRDefault="0089208F" w:rsidP="00AE785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89208F" w:rsidRPr="00050567" w:rsidRDefault="0089208F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89208F" w:rsidRPr="00D51CEF" w:rsidRDefault="0089208F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89208F" w:rsidRDefault="0089208F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89208F" w:rsidRPr="00AF5BEE" w:rsidRDefault="0089208F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89208F" w:rsidRPr="002078FE" w:rsidRDefault="0089208F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89208F" w:rsidRPr="002078FE" w:rsidRDefault="0089208F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89208F" w:rsidRPr="00AF3176" w:rsidRDefault="0089208F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1961B6" w:rsidRPr="002D0AEF" w:rsidRDefault="007F64A0" w:rsidP="002D0AEF">
      <w:pPr>
        <w:spacing w:before="100" w:beforeAutospacing="1" w:after="100" w:afterAutospacing="1" w:line="240" w:lineRule="auto"/>
        <w:rPr>
          <w:rFonts w:ascii="Arial" w:hAnsi="Arial" w:cs="Arial"/>
          <w:noProof/>
          <w:color w:val="000000"/>
          <w:sz w:val="28"/>
          <w:szCs w:val="28"/>
        </w:rPr>
      </w:pPr>
      <w:r w:rsidRPr="007F64A0">
        <w:rPr>
          <w:noProof/>
          <w:lang w:val="ru-RU" w:eastAsia="ru-RU"/>
        </w:rPr>
        <w:pict>
          <v:shape id="Поле 9" o:spid="_x0000_s1030" type="#_x0000_t202" style="position:absolute;margin-left:-4.8pt;margin-top:2.65pt;width:190pt;height:26.25pt;z-index:251656704;visibility:visible" filled="f" stroked="f" strokeweight=".5pt">
            <v:textbox style="mso-next-textbox:#Поле 9">
              <w:txbxContent>
                <w:p w:rsidR="0089208F" w:rsidRPr="007B4380" w:rsidRDefault="0089208F" w:rsidP="00BE5853">
                  <w:pPr>
                    <w:rPr>
                      <w:rFonts w:ascii="e-Ukraine" w:hAnsi="e-Ukraine" w:cs="Arial"/>
                      <w:i/>
                      <w:sz w:val="28"/>
                      <w:szCs w:val="28"/>
                    </w:rPr>
                  </w:pPr>
                  <w:r>
                    <w:rPr>
                      <w:rFonts w:ascii="e-Ukraine" w:hAnsi="e-Ukraine" w:cs="Arial"/>
                      <w:i/>
                      <w:sz w:val="28"/>
                      <w:szCs w:val="28"/>
                    </w:rPr>
                    <w:t>квітень</w:t>
                  </w:r>
                  <w:r w:rsidRPr="007B4380">
                    <w:rPr>
                      <w:rFonts w:ascii="e-Ukraine" w:hAnsi="e-Ukraine" w:cs="Arial"/>
                      <w:i/>
                      <w:sz w:val="28"/>
                      <w:szCs w:val="28"/>
                    </w:rPr>
                    <w:t xml:space="preserve"> 2026 року</w:t>
                  </w:r>
                </w:p>
                <w:p w:rsidR="0089208F" w:rsidRDefault="0089208F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89208F" w:rsidRPr="00026C80" w:rsidRDefault="0089208F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1961B6" w:rsidRPr="0089208F" w:rsidRDefault="00B23C1D" w:rsidP="007B438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32"/>
          <w:szCs w:val="32"/>
        </w:rPr>
      </w:pPr>
      <w:r w:rsidRPr="0089208F">
        <w:rPr>
          <w:rFonts w:ascii="e-Ukraine" w:hAnsi="e-Ukraine" w:cs="Times New Roman"/>
          <w:sz w:val="32"/>
          <w:szCs w:val="32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="00E93FB3">
        <w:rPr>
          <w:rFonts w:ascii="e-Ukraine" w:hAnsi="e-Ukraine" w:cs="Times New Roman"/>
          <w:sz w:val="32"/>
          <w:szCs w:val="32"/>
        </w:rPr>
        <w:t>Самарівський</w:t>
      </w:r>
      <w:proofErr w:type="spellEnd"/>
      <w:r w:rsidR="00E93FB3">
        <w:rPr>
          <w:rFonts w:ascii="e-Ukraine" w:hAnsi="e-Ukraine" w:cs="Times New Roman"/>
          <w:sz w:val="32"/>
          <w:szCs w:val="32"/>
        </w:rPr>
        <w:t xml:space="preserve"> район</w:t>
      </w:r>
      <w:r w:rsidR="009A3C86" w:rsidRPr="0089208F">
        <w:rPr>
          <w:rFonts w:ascii="e-Ukraine" w:hAnsi="e-Ukraine" w:cs="Times New Roman"/>
          <w:sz w:val="32"/>
          <w:szCs w:val="32"/>
        </w:rPr>
        <w:t>)</w:t>
      </w:r>
      <w:r w:rsidR="00876E56">
        <w:rPr>
          <w:rFonts w:ascii="e-Ukraine" w:hAnsi="e-Ukraine" w:cs="Times New Roman"/>
          <w:sz w:val="32"/>
          <w:szCs w:val="32"/>
        </w:rPr>
        <w:t xml:space="preserve"> </w:t>
      </w:r>
      <w:r w:rsidR="001961B6" w:rsidRPr="0089208F">
        <w:rPr>
          <w:rFonts w:ascii="e-Ukraine" w:hAnsi="e-Ukraine" w:cs="Times New Roman"/>
          <w:sz w:val="32"/>
          <w:szCs w:val="32"/>
        </w:rPr>
        <w:t xml:space="preserve">повідомляє. </w:t>
      </w:r>
    </w:p>
    <w:p w:rsidR="001961B6" w:rsidRPr="0089208F" w:rsidRDefault="001961B6" w:rsidP="007B438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32"/>
          <w:szCs w:val="32"/>
        </w:rPr>
      </w:pPr>
      <w:r w:rsidRPr="0089208F">
        <w:rPr>
          <w:rFonts w:ascii="e-Ukraine" w:hAnsi="e-Ukraine" w:cs="Times New Roman"/>
          <w:sz w:val="32"/>
          <w:szCs w:val="32"/>
        </w:rPr>
        <w:t xml:space="preserve">Нормами Податкового кодексу України (ПКУ) визначено, що </w:t>
      </w:r>
      <w:proofErr w:type="spellStart"/>
      <w:r w:rsidRPr="0089208F">
        <w:rPr>
          <w:rFonts w:ascii="e-Ukraine" w:hAnsi="e-Ukraine" w:cs="Times New Roman"/>
          <w:sz w:val="32"/>
          <w:szCs w:val="32"/>
        </w:rPr>
        <w:t>комплаєнс</w:t>
      </w:r>
      <w:proofErr w:type="spellEnd"/>
      <w:r w:rsidRPr="0089208F">
        <w:rPr>
          <w:rFonts w:ascii="e-Ukraine" w:hAnsi="e-Ukraine" w:cs="Times New Roman"/>
          <w:sz w:val="32"/>
          <w:szCs w:val="32"/>
        </w:rPr>
        <w:t xml:space="preserve"> – це система заходів та процедур, що здійснюються податковими органами з метою підвищення рівня добровільного виконання податкових та інших </w:t>
      </w:r>
      <w:proofErr w:type="spellStart"/>
      <w:r w:rsidRPr="0089208F">
        <w:rPr>
          <w:rFonts w:ascii="e-Ukraine" w:hAnsi="e-Ukraine" w:cs="Times New Roman"/>
          <w:sz w:val="32"/>
          <w:szCs w:val="32"/>
        </w:rPr>
        <w:t>обовʼязків</w:t>
      </w:r>
      <w:proofErr w:type="spellEnd"/>
      <w:r w:rsidRPr="0089208F">
        <w:rPr>
          <w:rFonts w:ascii="e-Ukraine" w:hAnsi="e-Ukraine" w:cs="Times New Roman"/>
          <w:sz w:val="32"/>
          <w:szCs w:val="32"/>
        </w:rPr>
        <w:t xml:space="preserve"> платниками податків, відповідно до вимог податкового та іншого законодавства, контроль за дотриманням якого покладено на органи ДПС, та зменшення ймовірності настання податкового ризику (</w:t>
      </w:r>
      <w:proofErr w:type="spellStart"/>
      <w:r w:rsidRPr="0089208F">
        <w:rPr>
          <w:rFonts w:ascii="e-Ukraine" w:hAnsi="e-Ukraine" w:cs="Times New Roman"/>
          <w:sz w:val="32"/>
          <w:szCs w:val="32"/>
        </w:rPr>
        <w:t>комплаєнс-ризику</w:t>
      </w:r>
      <w:proofErr w:type="spellEnd"/>
      <w:r w:rsidRPr="0089208F">
        <w:rPr>
          <w:rFonts w:ascii="e-Ukraine" w:hAnsi="e-Ukraine" w:cs="Times New Roman"/>
          <w:sz w:val="32"/>
          <w:szCs w:val="32"/>
        </w:rPr>
        <w:t xml:space="preserve">). </w:t>
      </w:r>
    </w:p>
    <w:p w:rsidR="001961B6" w:rsidRPr="0089208F" w:rsidRDefault="001961B6" w:rsidP="007B438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32"/>
          <w:szCs w:val="32"/>
        </w:rPr>
      </w:pPr>
      <w:r w:rsidRPr="0089208F">
        <w:rPr>
          <w:rFonts w:ascii="e-Ukraine" w:hAnsi="e-Ukraine" w:cs="Times New Roman"/>
          <w:sz w:val="32"/>
          <w:szCs w:val="32"/>
        </w:rPr>
        <w:t xml:space="preserve">Управління </w:t>
      </w:r>
      <w:proofErr w:type="spellStart"/>
      <w:r w:rsidRPr="0089208F">
        <w:rPr>
          <w:rFonts w:ascii="e-Ukraine" w:hAnsi="e-Ukraine" w:cs="Times New Roman"/>
          <w:sz w:val="32"/>
          <w:szCs w:val="32"/>
        </w:rPr>
        <w:t>комплаєнс-ризиками</w:t>
      </w:r>
      <w:proofErr w:type="spellEnd"/>
      <w:r w:rsidRPr="0089208F">
        <w:rPr>
          <w:rFonts w:ascii="e-Ukraine" w:hAnsi="e-Ukraine" w:cs="Times New Roman"/>
          <w:sz w:val="32"/>
          <w:szCs w:val="32"/>
        </w:rPr>
        <w:t xml:space="preserve"> охоплює основні обов’язки платника податків, визначені ПКУ: </w:t>
      </w:r>
    </w:p>
    <w:p w:rsidR="001961B6" w:rsidRPr="0089208F" w:rsidRDefault="001961B6" w:rsidP="007B438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32"/>
          <w:szCs w:val="32"/>
        </w:rPr>
      </w:pPr>
      <w:r w:rsidRPr="0089208F">
        <w:rPr>
          <w:rFonts w:ascii="e-Ukraine" w:hAnsi="e-Ukraine" w:cs="Times New Roman"/>
          <w:sz w:val="32"/>
          <w:szCs w:val="32"/>
        </w:rPr>
        <w:t xml:space="preserve">реєстрації платником податку; </w:t>
      </w:r>
    </w:p>
    <w:p w:rsidR="001961B6" w:rsidRPr="0089208F" w:rsidRDefault="001961B6" w:rsidP="007B438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32"/>
          <w:szCs w:val="32"/>
        </w:rPr>
      </w:pPr>
      <w:r w:rsidRPr="0089208F">
        <w:rPr>
          <w:rFonts w:ascii="e-Ukraine" w:hAnsi="e-Ukraine" w:cs="Times New Roman"/>
          <w:sz w:val="32"/>
          <w:szCs w:val="32"/>
        </w:rPr>
        <w:t xml:space="preserve">подання звітності; </w:t>
      </w:r>
    </w:p>
    <w:p w:rsidR="001961B6" w:rsidRPr="0089208F" w:rsidRDefault="001961B6" w:rsidP="007B438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32"/>
          <w:szCs w:val="32"/>
        </w:rPr>
      </w:pPr>
      <w:r w:rsidRPr="0089208F">
        <w:rPr>
          <w:rFonts w:ascii="e-Ukraine" w:hAnsi="e-Ukraine" w:cs="Times New Roman"/>
          <w:sz w:val="32"/>
          <w:szCs w:val="32"/>
        </w:rPr>
        <w:t xml:space="preserve">повне декларування; </w:t>
      </w:r>
    </w:p>
    <w:p w:rsidR="001961B6" w:rsidRPr="0089208F" w:rsidRDefault="001961B6" w:rsidP="007B438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32"/>
          <w:szCs w:val="32"/>
        </w:rPr>
      </w:pPr>
      <w:r w:rsidRPr="0089208F">
        <w:rPr>
          <w:rFonts w:ascii="e-Ukraine" w:hAnsi="e-Ukraine" w:cs="Times New Roman"/>
          <w:sz w:val="32"/>
          <w:szCs w:val="32"/>
        </w:rPr>
        <w:t xml:space="preserve">своєчасна сплата належних платежів до бюджетів. </w:t>
      </w:r>
    </w:p>
    <w:p w:rsidR="00257FFB" w:rsidRPr="007B4380" w:rsidRDefault="007F64A0" w:rsidP="007B4380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7F64A0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153.85pt;width:500pt;height:46.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89208F" w:rsidRPr="007B4380" w:rsidRDefault="0089208F" w:rsidP="007B4380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7B438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7B438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7B438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7B438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7B438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89208F" w:rsidRPr="007B4380" w:rsidRDefault="0089208F" w:rsidP="007B4380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7B438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89208F" w:rsidRPr="007B4380" w:rsidRDefault="0089208F" w:rsidP="007B4380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7B438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</w:t>
                  </w:r>
                  <w:r w:rsidR="00876E5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с": 0-800-501-007  (напрямок  «5</w:t>
                  </w:r>
                  <w:r w:rsidRPr="007B438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89208F" w:rsidRPr="007B4380" w:rsidRDefault="0089208F" w:rsidP="007B4380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7B438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89208F" w:rsidRPr="00DE663D" w:rsidRDefault="0089208F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A42650" w:rsidRPr="001961B6">
        <w:rPr>
          <w:rFonts w:ascii="Arial" w:hAnsi="Arial" w:cs="Arial"/>
          <w:noProof/>
          <w:color w:val="000000"/>
          <w:sz w:val="28"/>
          <w:szCs w:val="28"/>
        </w:rPr>
        <w:t xml:space="preserve">  </w:t>
      </w:r>
    </w:p>
    <w:sectPr w:rsidR="00257FFB" w:rsidRPr="007B4380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55B"/>
    <w:rsid w:val="00101E63"/>
    <w:rsid w:val="0010250E"/>
    <w:rsid w:val="001059A4"/>
    <w:rsid w:val="00116DCD"/>
    <w:rsid w:val="00116EA8"/>
    <w:rsid w:val="00122DFD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961B6"/>
    <w:rsid w:val="001A2CAD"/>
    <w:rsid w:val="001A503D"/>
    <w:rsid w:val="001B1318"/>
    <w:rsid w:val="001C0210"/>
    <w:rsid w:val="001C0BD3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0AEF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5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5F7935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07B9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B4380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7F64A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6E56"/>
    <w:rsid w:val="00877108"/>
    <w:rsid w:val="00880893"/>
    <w:rsid w:val="00882778"/>
    <w:rsid w:val="00884D91"/>
    <w:rsid w:val="0089208F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559B3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48BF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157B"/>
    <w:rsid w:val="00A2371B"/>
    <w:rsid w:val="00A24D92"/>
    <w:rsid w:val="00A2566F"/>
    <w:rsid w:val="00A301D9"/>
    <w:rsid w:val="00A33A9E"/>
    <w:rsid w:val="00A33FA7"/>
    <w:rsid w:val="00A42650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83C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17E7B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069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926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3FB3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006A"/>
    <w:rsid w:val="00F22A1F"/>
    <w:rsid w:val="00F27D2F"/>
    <w:rsid w:val="00F31D54"/>
    <w:rsid w:val="00F31F55"/>
    <w:rsid w:val="00F3204B"/>
    <w:rsid w:val="00F321D0"/>
    <w:rsid w:val="00F3328A"/>
    <w:rsid w:val="00F4229E"/>
    <w:rsid w:val="00F43CD5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AB15C-7F1E-447E-BC2F-A3FF1BB8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911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7</cp:revision>
  <cp:lastPrinted>2020-08-10T08:25:00Z</cp:lastPrinted>
  <dcterms:created xsi:type="dcterms:W3CDTF">2026-03-20T07:35:00Z</dcterms:created>
  <dcterms:modified xsi:type="dcterms:W3CDTF">2026-04-27T12:50:00Z</dcterms:modified>
</cp:coreProperties>
</file>