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D4772C">
      <w:pPr>
        <w:rPr>
          <w:rFonts w:ascii="e-Ukraine" w:hAnsi="e-Ukraine" w:cs="e-Ukraine"/>
        </w:rPr>
      </w:pPr>
      <w:r w:rsidRPr="00D4772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D4772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D4772C">
      <w:pPr>
        <w:rPr>
          <w:rFonts w:ascii="e-Ukraine" w:hAnsi="e-Ukraine" w:cs="e-Ukraine"/>
        </w:rPr>
      </w:pPr>
      <w:r w:rsidRPr="00D4772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D4772C">
      <w:pPr>
        <w:rPr>
          <w:rFonts w:ascii="e-Ukraine" w:hAnsi="e-Ukraine" w:cs="e-Ukraine"/>
        </w:rPr>
      </w:pPr>
      <w:r w:rsidRPr="00D4772C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55pt;z-index:251657728;visibility:visible;v-text-anchor:middle" filled="f" stroked="f" strokeweight=".5pt">
            <v:textbox style="mso-next-textbox:#Поле 8">
              <w:txbxContent>
                <w:p w:rsidR="00773F6E" w:rsidRPr="00773F6E" w:rsidRDefault="00773F6E" w:rsidP="00773F6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773F6E">
                    <w:rPr>
                      <w:rFonts w:ascii="Arial Black" w:hAnsi="Arial Black"/>
                      <w:sz w:val="28"/>
                      <w:szCs w:val="28"/>
                    </w:rPr>
                    <w:t>Сплатили за ліцензію, подайте Заяву про внесення чергового платежу</w:t>
                  </w:r>
                </w:p>
                <w:p w:rsidR="00B67529" w:rsidRPr="00D51CEF" w:rsidRDefault="00B67529" w:rsidP="00F32E0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D4772C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D4772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1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F32E09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32E09" w:rsidRDefault="00F32E09" w:rsidP="00F32E0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773F6E" w:rsidRPr="00773F6E" w:rsidRDefault="00B23C1D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F32E09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F32E09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F32E09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F32E09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F32E0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звертає увагу, що сплата чергового платежу за ліцензію – це перший крок. Після оплати необхідно в обов’язковому порядку подати Заяву про внесення чергового платежу (далі – Заява). Без такої Заяви процес вважається незавершеним.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Заяву можна подати у:   </w:t>
      </w:r>
    </w:p>
    <w:p w:rsidR="00773F6E" w:rsidRPr="00773F6E" w:rsidRDefault="00E57A46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>- 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паперовій формі; </w:t>
      </w:r>
    </w:p>
    <w:p w:rsidR="00773F6E" w:rsidRPr="00773F6E" w:rsidRDefault="00E57A46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>- 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електронній формі;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У Заяві необхідно вказати:  </w:t>
      </w:r>
    </w:p>
    <w:p w:rsidR="00773F6E" w:rsidRPr="00773F6E" w:rsidRDefault="00E57A46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>- 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код класифікації доходів бюджету;  </w:t>
      </w:r>
    </w:p>
    <w:p w:rsidR="00773F6E" w:rsidRPr="00773F6E" w:rsidRDefault="00E57A46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>- 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суму внесеного платежу;  </w:t>
      </w:r>
    </w:p>
    <w:p w:rsidR="00773F6E" w:rsidRPr="00773F6E" w:rsidRDefault="00E57A46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t>- </w:t>
      </w:r>
      <w:r w:rsidR="00773F6E" w:rsidRPr="00773F6E">
        <w:rPr>
          <w:rFonts w:ascii="Arial" w:hAnsi="Arial" w:cs="Arial"/>
          <w:noProof/>
          <w:color w:val="000000"/>
          <w:sz w:val="25"/>
          <w:szCs w:val="25"/>
        </w:rPr>
        <w:t xml:space="preserve">номер і дату платіжної інструкції, що підтверджує внесення такої плати.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Після отримання Заяви орган ліцензування автоматично формує витяг із реєстру ліцензіатів і надсилає його суб’єкту господарювання в електронній формі. 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Це підтверджує, що платіж за ліцензію зараховано, а діяльність ведеться законно.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Нагадуємо: обов’язкова своєчасна сплата річної плати або щоквартальної частини річної плати за ліцензію передбачена Законом № 3817.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Платіж слід здійснити до початку нового річного або квартального періоду, а після сплати обов’язково повідомити про це орган ліцензування у встановленому порядку.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Довідково: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Закон № 3817 – Закон України від 18 червня 2024 року № 3817 ІХ 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доповненнями); </w:t>
      </w:r>
    </w:p>
    <w:p w:rsidR="00773F6E" w:rsidRPr="00773F6E" w:rsidRDefault="00773F6E" w:rsidP="00773F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постанова Кабінету Міністрів України від 04.04.2025 № 374 «Деякі питання ведення єдиних реєстрів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використовується в електронних сигаретах, ліцензіатів та місць обігу пального». </w:t>
      </w:r>
    </w:p>
    <w:p w:rsidR="00F32E09" w:rsidRPr="00F32E09" w:rsidRDefault="00F32E09" w:rsidP="00F32E0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E57A46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4772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7.25pt;width:500pt;height:55.4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73F6E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4AB8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4772C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57A46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2E09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58DA6-D9DB-41DF-9E25-DFD3B41C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2026-04-17T13:59:00Z</dcterms:created>
  <dcterms:modified xsi:type="dcterms:W3CDTF">2026-04-21T09:27:00Z</dcterms:modified>
</cp:coreProperties>
</file>