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26A57">
      <w:pPr>
        <w:rPr>
          <w:rFonts w:ascii="e-Ukraine" w:hAnsi="e-Ukraine" w:cs="e-Ukraine"/>
        </w:rPr>
      </w:pPr>
      <w:r w:rsidRPr="00226A5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226A5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226A57">
      <w:pPr>
        <w:rPr>
          <w:rFonts w:ascii="e-Ukraine" w:hAnsi="e-Ukraine" w:cs="e-Ukraine"/>
        </w:rPr>
      </w:pPr>
      <w:r w:rsidRPr="00226A5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226A57">
      <w:pPr>
        <w:rPr>
          <w:rFonts w:ascii="e-Ukraine" w:hAnsi="e-Ukraine" w:cs="e-Ukraine"/>
        </w:rPr>
      </w:pPr>
      <w:r w:rsidRPr="00226A57">
        <w:rPr>
          <w:noProof/>
          <w:lang w:val="ru-RU" w:eastAsia="ru-RU"/>
        </w:rPr>
        <w:pict>
          <v:shape id="Поле 8" o:spid="_x0000_s1029" type="#_x0000_t202" style="position:absolute;margin-left:-9.8pt;margin-top:2.65pt;width:315pt;height:55pt;z-index:251657728;visibility:visible;v-text-anchor:middle" filled="f" stroked="f" strokeweight=".5pt">
            <v:textbox style="mso-next-textbox:#Поле 8">
              <w:txbxContent>
                <w:p w:rsidR="00B9473A" w:rsidRPr="002D4C7F" w:rsidRDefault="002D4C7F" w:rsidP="0025400B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2D4C7F">
                    <w:rPr>
                      <w:rFonts w:ascii="Arial Black" w:hAnsi="Arial Black"/>
                      <w:sz w:val="28"/>
                      <w:szCs w:val="28"/>
                    </w:rPr>
                    <w:t>«</w:t>
                  </w:r>
                  <w:proofErr w:type="spellStart"/>
                  <w:r w:rsidRPr="002D4C7F">
                    <w:rPr>
                      <w:rFonts w:ascii="Arial Black" w:hAnsi="Arial Black"/>
                      <w:sz w:val="28"/>
                      <w:szCs w:val="28"/>
                    </w:rPr>
                    <w:t>Дроблення</w:t>
                  </w:r>
                  <w:proofErr w:type="spellEnd"/>
                  <w:r w:rsidRPr="002D4C7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D4C7F">
                    <w:rPr>
                      <w:rFonts w:ascii="Arial Black" w:hAnsi="Arial Black"/>
                      <w:sz w:val="28"/>
                      <w:szCs w:val="28"/>
                    </w:rPr>
                    <w:t>бізнесу</w:t>
                  </w:r>
                  <w:proofErr w:type="spellEnd"/>
                  <w:r w:rsidRPr="002D4C7F">
                    <w:rPr>
                      <w:rFonts w:ascii="Arial Black" w:hAnsi="Arial Black"/>
                      <w:sz w:val="28"/>
                      <w:szCs w:val="28"/>
                    </w:rPr>
                    <w:t>» -</w:t>
                  </w:r>
                  <w:r w:rsidR="0025400B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                    </w:t>
                  </w:r>
                  <w:r w:rsidRPr="002D4C7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D4C7F">
                    <w:rPr>
                      <w:rFonts w:ascii="Arial Black" w:hAnsi="Arial Black"/>
                      <w:sz w:val="28"/>
                      <w:szCs w:val="28"/>
                    </w:rPr>
                    <w:t>недоотримані</w:t>
                  </w:r>
                  <w:proofErr w:type="spellEnd"/>
                  <w:r w:rsidRPr="002D4C7F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D4C7F">
                    <w:rPr>
                      <w:rFonts w:ascii="Arial Black" w:hAnsi="Arial Black"/>
                      <w:sz w:val="28"/>
                      <w:szCs w:val="28"/>
                    </w:rPr>
                    <w:t>кошти</w:t>
                  </w:r>
                  <w:proofErr w:type="spellEnd"/>
                  <w:r w:rsidRPr="002D4C7F">
                    <w:rPr>
                      <w:rFonts w:ascii="Arial Black" w:hAnsi="Arial Black"/>
                      <w:sz w:val="28"/>
                      <w:szCs w:val="28"/>
                    </w:rPr>
                    <w:t xml:space="preserve"> бюджетами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226A5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226A57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8.8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25400B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січен</w:t>
                  </w:r>
                  <w:r w:rsidR="00B27E5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2D4C7F" w:rsidRPr="00367BF3" w:rsidRDefault="00B23C1D" w:rsidP="0025400B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367BF3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367BF3">
        <w:rPr>
          <w:rFonts w:ascii="Arial" w:hAnsi="Arial" w:cs="Arial"/>
          <w:noProof/>
          <w:color w:val="000000"/>
          <w:sz w:val="26"/>
          <w:szCs w:val="26"/>
        </w:rPr>
        <w:t>ння – Нікопольський рай</w:t>
      </w:r>
      <w:r w:rsidRPr="00367BF3">
        <w:rPr>
          <w:rFonts w:ascii="Arial" w:hAnsi="Arial" w:cs="Arial"/>
          <w:noProof/>
          <w:color w:val="000000"/>
          <w:sz w:val="26"/>
          <w:szCs w:val="26"/>
        </w:rPr>
        <w:t>он</w:t>
      </w:r>
      <w:r w:rsidR="009A3C86" w:rsidRPr="00367BF3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367BF3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2D4C7F" w:rsidRPr="00367BF3">
        <w:rPr>
          <w:rFonts w:ascii="Arial" w:hAnsi="Arial" w:cs="Arial"/>
          <w:noProof/>
          <w:color w:val="000000"/>
          <w:sz w:val="26"/>
          <w:szCs w:val="26"/>
        </w:rPr>
        <w:t xml:space="preserve">з метою детінізації та виведення з тіні розрахунків за товари (послуги), налагодження податкової культури серед платників, створення рівних конкурентних умов під час ведення бізнесу на постійній основі проводиться аналіз наявної податкової інформації, отриманої з інформаційних баз даних ДПС. </w:t>
      </w:r>
    </w:p>
    <w:p w:rsidR="002D4C7F" w:rsidRPr="00367BF3" w:rsidRDefault="002D4C7F" w:rsidP="0025400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367BF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Так, через Систему обліку даних реєстраторів розрахункових операцій (СОД РРО) виявляються окремі платники податків, які одночасно провадять господарську діяльність у межах однієї й тієї ж господарської одиниці, які розташовані за однією адресою, мають спільну назву, торговельну марку, бренд тощо, що свідчить про ймовірну спільну діяльність таких платників податків. </w:t>
      </w:r>
    </w:p>
    <w:p w:rsidR="002D4C7F" w:rsidRPr="00367BF3" w:rsidRDefault="002D4C7F" w:rsidP="0025400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367BF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Метою здійснення такої господарської діяльності може бути мінімізація податкових та інших обов’язкових платежів шляхом окремого розподілу розрахунків під час продажу товарів (наданні послуг) між платниками податків, у тому числі тими, які перебувають на спрощеній системі оподаткування, або шляхом використання у своїй господарській діяльності фізичних осіб - підприємців, переважна більшість яких є платниками єдиного податку. </w:t>
      </w:r>
    </w:p>
    <w:p w:rsidR="002D4C7F" w:rsidRPr="00367BF3" w:rsidRDefault="002D4C7F" w:rsidP="0025400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367BF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Доводимо до відома платників податків інформацію щодо необхідності дотримання вимог чинного законодавства України при здійсненні господарської діяльності в сфері торгівлі, громадського харчування та наданні послуг.  </w:t>
      </w:r>
    </w:p>
    <w:p w:rsidR="002D4C7F" w:rsidRPr="00367BF3" w:rsidRDefault="002D4C7F" w:rsidP="0025400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367BF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Також повідомляємо, що з листопада 2025 року ДПС запустила роботу цифрового сервісу TAX Control, через який забезпечена можливість поінформувати ДПС та її територіальні органи про порушення, а саме щодо: </w:t>
      </w:r>
    </w:p>
    <w:p w:rsidR="002D4C7F" w:rsidRPr="00367BF3" w:rsidRDefault="002D4C7F" w:rsidP="0025400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367BF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-         незастосування РРО/ПРРО, невидачі фіскального чека;  </w:t>
      </w:r>
    </w:p>
    <w:p w:rsidR="002D4C7F" w:rsidRPr="00367BF3" w:rsidRDefault="002D4C7F" w:rsidP="0025400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367BF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-         торгівлі без ліцензії, реалізації підакцизної продукції;  </w:t>
      </w:r>
    </w:p>
    <w:p w:rsidR="002D4C7F" w:rsidRPr="00367BF3" w:rsidRDefault="002D4C7F" w:rsidP="0025400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367BF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-         відмови у розрахунках банківською картою; </w:t>
      </w:r>
    </w:p>
    <w:p w:rsidR="002D4C7F" w:rsidRPr="00367BF3" w:rsidRDefault="002D4C7F" w:rsidP="0025400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367BF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-         діяльності без державної реєстрації; </w:t>
      </w:r>
    </w:p>
    <w:p w:rsidR="002D4C7F" w:rsidRPr="00367BF3" w:rsidRDefault="002D4C7F" w:rsidP="0025400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367BF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-         порушення трудових відносин. </w:t>
      </w:r>
    </w:p>
    <w:p w:rsidR="002D4C7F" w:rsidRPr="00367BF3" w:rsidRDefault="002D4C7F" w:rsidP="0025400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  <w:r w:rsidRPr="00367BF3">
        <w:rPr>
          <w:rFonts w:ascii="Arial" w:hAnsi="Arial" w:cs="Arial"/>
          <w:noProof/>
          <w:color w:val="000000"/>
          <w:sz w:val="26"/>
          <w:szCs w:val="26"/>
          <w:lang w:eastAsia="uk-UA"/>
        </w:rPr>
        <w:t xml:space="preserve">Наявна інформація, що отримана через цифровий сервіс TAX Control, використовується під час організації заходів податкового контролю. </w:t>
      </w:r>
    </w:p>
    <w:p w:rsidR="0025400B" w:rsidRDefault="0025400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</w:p>
    <w:p w:rsidR="00367BF3" w:rsidRDefault="00367BF3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</w:p>
    <w:p w:rsidR="00257FFB" w:rsidRPr="00B67529" w:rsidRDefault="00226A57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226A57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15E2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6A57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400B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D4C7F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57A5C"/>
    <w:rsid w:val="00360821"/>
    <w:rsid w:val="00360ACB"/>
    <w:rsid w:val="0036371B"/>
    <w:rsid w:val="00367BF3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1CB0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3C1D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0013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720AE-D799-4B5D-B31A-ABC94B1B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3</cp:revision>
  <cp:lastPrinted>2020-08-10T07:25:00Z</cp:lastPrinted>
  <dcterms:created xsi:type="dcterms:W3CDTF">2026-01-23T09:32:00Z</dcterms:created>
  <dcterms:modified xsi:type="dcterms:W3CDTF">2026-01-23T10:05:00Z</dcterms:modified>
</cp:coreProperties>
</file>