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50F0A">
      <w:pPr>
        <w:rPr>
          <w:rFonts w:ascii="e-Ukraine" w:hAnsi="e-Ukraine" w:cs="e-Ukraine"/>
        </w:rPr>
      </w:pPr>
      <w:r w:rsidRPr="00450F0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50F0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50F0A">
      <w:pPr>
        <w:rPr>
          <w:rFonts w:ascii="e-Ukraine" w:hAnsi="e-Ukraine" w:cs="e-Ukraine"/>
        </w:rPr>
      </w:pPr>
      <w:r w:rsidRPr="00450F0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B5BD6">
      <w:pPr>
        <w:rPr>
          <w:rFonts w:ascii="e-Ukraine" w:hAnsi="e-Ukraine" w:cs="e-Ukraine"/>
        </w:rPr>
      </w:pPr>
      <w:r w:rsidRPr="00450F0A">
        <w:rPr>
          <w:noProof/>
          <w:lang w:val="ru-RU" w:eastAsia="ru-RU"/>
        </w:rPr>
        <w:pict>
          <v:shape id="Поле 8" o:spid="_x0000_s1029" type="#_x0000_t202" style="position:absolute;margin-left:-4.8pt;margin-top:16.95pt;width:366pt;height:55pt;z-index:251657728;visibility:visible;v-text-anchor:middle" filled="f" stroked="f" strokeweight=".5pt">
            <v:textbox style="mso-next-textbox:#Поле 8">
              <w:txbxContent>
                <w:p w:rsidR="0091255F" w:rsidRPr="005B5BD6" w:rsidRDefault="0091255F" w:rsidP="0091255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Національна</w:t>
                  </w:r>
                  <w:proofErr w:type="spellEnd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стратегія</w:t>
                  </w:r>
                  <w:proofErr w:type="spellEnd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доходів</w:t>
                  </w:r>
                  <w:proofErr w:type="spellEnd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 w:rsidR="005B5BD6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</w:t>
                  </w: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покращення</w:t>
                  </w:r>
                  <w:proofErr w:type="spellEnd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роботи</w:t>
                  </w:r>
                  <w:proofErr w:type="spellEnd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55F">
                    <w:rPr>
                      <w:rFonts w:ascii="Arial Black" w:hAnsi="Arial Black"/>
                      <w:sz w:val="28"/>
                      <w:szCs w:val="28"/>
                    </w:rPr>
                    <w:t>з</w:t>
                  </w:r>
                  <w:proofErr w:type="spellEnd"/>
                  <w:r w:rsidRPr="005B5BD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5BD6">
                    <w:rPr>
                      <w:rFonts w:ascii="Arial Black" w:hAnsi="Arial Black"/>
                      <w:sz w:val="28"/>
                      <w:szCs w:val="28"/>
                    </w:rPr>
                    <w:t>податковим</w:t>
                  </w:r>
                  <w:proofErr w:type="spellEnd"/>
                  <w:r w:rsidRPr="005B5BD6">
                    <w:rPr>
                      <w:rFonts w:ascii="Arial Black" w:hAnsi="Arial Black"/>
                      <w:sz w:val="28"/>
                      <w:szCs w:val="28"/>
                    </w:rPr>
                    <w:t xml:space="preserve"> боргом </w:t>
                  </w:r>
                </w:p>
                <w:p w:rsidR="00273166" w:rsidRDefault="00273166" w:rsidP="00273166">
                  <w:pPr>
                    <w:pStyle w:val="1"/>
                  </w:pPr>
                  <w:proofErr w:type="spellStart"/>
                  <w:r>
                    <w:t>застосування</w:t>
                  </w:r>
                  <w:proofErr w:type="spellEnd"/>
                  <w:r>
                    <w:t xml:space="preserve"> КОРО</w:t>
                  </w:r>
                </w:p>
                <w:p w:rsidR="001F1D30" w:rsidRDefault="001F1D30" w:rsidP="001F1D30">
                  <w:pPr>
                    <w:pStyle w:val="1"/>
                  </w:pPr>
                  <w:r>
                    <w:t xml:space="preserve">документ через </w:t>
                  </w:r>
                  <w:proofErr w:type="spellStart"/>
                  <w:r>
                    <w:t>Електронний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</w:t>
                  </w:r>
                  <w:proofErr w:type="spellEnd"/>
                </w:p>
                <w:p w:rsidR="00275CD1" w:rsidRDefault="00275CD1" w:rsidP="00275CD1">
                  <w:pPr>
                    <w:pStyle w:val="1"/>
                  </w:pPr>
                  <w:proofErr w:type="spellStart"/>
                  <w:r>
                    <w:t>КВЕДи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податків</w:t>
                  </w:r>
                  <w:proofErr w:type="spellEnd"/>
                  <w:r>
                    <w:t>?</w:t>
                  </w:r>
                </w:p>
                <w:p w:rsidR="004C64DC" w:rsidRDefault="004C64DC" w:rsidP="004C64DC">
                  <w:pPr>
                    <w:pStyle w:val="1"/>
                  </w:pPr>
                </w:p>
                <w:p w:rsidR="0008453F" w:rsidRDefault="0008453F" w:rsidP="0008453F">
                  <w:pPr>
                    <w:pStyle w:val="1"/>
                  </w:pPr>
                </w:p>
                <w:p w:rsidR="009E0075" w:rsidRDefault="009E0075" w:rsidP="009E0075">
                  <w:pPr>
                    <w:pStyle w:val="1"/>
                  </w:pPr>
                  <w:r>
                    <w:t xml:space="preserve">ДПС </w:t>
                  </w:r>
                </w:p>
                <w:p w:rsidR="00303A55" w:rsidRDefault="00303A55" w:rsidP="00303A55">
                  <w:pPr>
                    <w:pStyle w:val="1"/>
                  </w:pPr>
                  <w:proofErr w:type="spellStart"/>
                  <w:r>
                    <w:t>податкова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допомога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платникам</w:t>
                  </w:r>
                  <w:proofErr w:type="spellEnd"/>
                </w:p>
                <w:p w:rsidR="005B054D" w:rsidRDefault="005B054D" w:rsidP="005B054D">
                  <w:pPr>
                    <w:pStyle w:val="1"/>
                  </w:pP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</w:p>
                <w:p w:rsidR="00783583" w:rsidRDefault="00783583" w:rsidP="00783583">
                  <w:pPr>
                    <w:pStyle w:val="1"/>
                  </w:pPr>
                  <w:proofErr w:type="spellStart"/>
                  <w:r>
                    <w:t>оформити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B5BD6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50F0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1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5B5BD6" w:rsidRDefault="005B5BD6" w:rsidP="005B5BD6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1255F" w:rsidRPr="005B5BD6" w:rsidRDefault="00B23C1D" w:rsidP="005B5BD6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91255F" w:rsidRPr="005B5BD6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Податковий борг для будь-якої країни є </w:t>
      </w:r>
      <w:proofErr w:type="gramStart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>соц</w:t>
      </w:r>
      <w:proofErr w:type="gramEnd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іально-економічною проблемою. Зростання загальної суми податкового боргу </w:t>
      </w:r>
      <w:proofErr w:type="gramStart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>св</w:t>
      </w:r>
      <w:proofErr w:type="gramEnd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ідчить про необхідність більш прискіпливого вивчення причин його виникнення та підвищення ефективності заходів погашення податкового боргу, що дозволить упередити виникнення податкового боргу та забезпечить якнайшвидше його погашення з дотриманням обґрунтованого рівня витрат на адміністрування такого боргу.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gramStart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>Очіку</w:t>
      </w:r>
      <w:proofErr w:type="gramEnd"/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ється, що вдосконалення процесів погашення податкового боргу матиме такі позитивні наслідки для податкових органів: 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прискорить, спростить та зменшить фінансові витрати органів ДПС на процедуру погашення податкового боргу; 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зменшить витрати робочого часу на здійснення заходів з погашення податкового боргу;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забезпечить проведення автоматизованого аналізу фінансово-господарського стану боржника та виявлення джерел погашення податкового боргу;  </w:t>
      </w:r>
    </w:p>
    <w:p w:rsidR="0091255F" w:rsidRPr="005B5BD6" w:rsidRDefault="0091255F" w:rsidP="005B5BD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5B5BD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зменшить вплив «людського» фактору на процедури погашення податкового боргу. </w:t>
      </w:r>
    </w:p>
    <w:p w:rsidR="004C340A" w:rsidRPr="004C340A" w:rsidRDefault="004C340A" w:rsidP="0094443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1CEF" w:rsidRDefault="00D51CEF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4C340A" w:rsidRPr="00D51CEF" w:rsidRDefault="004C340A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450F0A" w:rsidRPr="00450F0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8E8"/>
    <w:multiLevelType w:val="multilevel"/>
    <w:tmpl w:val="4AD2D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C75120"/>
    <w:multiLevelType w:val="multilevel"/>
    <w:tmpl w:val="11B6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1E3142"/>
    <w:multiLevelType w:val="multilevel"/>
    <w:tmpl w:val="EA02C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8C0FAC"/>
    <w:multiLevelType w:val="multilevel"/>
    <w:tmpl w:val="FBEA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453F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1D30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166"/>
    <w:rsid w:val="00273FB6"/>
    <w:rsid w:val="00274A78"/>
    <w:rsid w:val="0027512A"/>
    <w:rsid w:val="00275CD1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3A55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0F0A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64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5BD6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48F9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255F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075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091F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40B6E-E2C6-42F1-B053-FE4123A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2026-01-23T09:24:00Z</dcterms:created>
  <dcterms:modified xsi:type="dcterms:W3CDTF">2026-01-23T09:24:00Z</dcterms:modified>
</cp:coreProperties>
</file>