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946D0">
      <w:pPr>
        <w:rPr>
          <w:rFonts w:ascii="e-Ukraine" w:hAnsi="e-Ukraine" w:cs="e-Ukraine"/>
        </w:rPr>
      </w:pPr>
      <w:r w:rsidRPr="008946D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3.7pt;z-index:251655680;visibility:visible" filled="f" stroked="f" strokeweight=".5pt">
            <v:textbox style="mso-next-textbox:#Поле 21">
              <w:txbxContent>
                <w:p w:rsidR="00D13CDC" w:rsidRPr="008002E0" w:rsidRDefault="00D13CD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002E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13CDC" w:rsidRPr="008002E0" w:rsidRDefault="00D13CD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13CDC" w:rsidRPr="008002E0" w:rsidRDefault="00D13CD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002E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13CDC" w:rsidRPr="008002E0" w:rsidRDefault="00D13CD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002E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946D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946D0">
      <w:pPr>
        <w:rPr>
          <w:rFonts w:ascii="e-Ukraine" w:hAnsi="e-Ukraine" w:cs="e-Ukraine"/>
        </w:rPr>
      </w:pPr>
      <w:r w:rsidRPr="008946D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946D0">
      <w:pPr>
        <w:rPr>
          <w:rFonts w:ascii="e-Ukraine" w:hAnsi="e-Ukraine" w:cs="e-Ukraine"/>
        </w:rPr>
      </w:pPr>
      <w:r w:rsidRPr="008946D0">
        <w:rPr>
          <w:noProof/>
          <w:lang w:val="ru-RU" w:eastAsia="ru-RU"/>
        </w:rPr>
        <w:pict>
          <v:shape id="Поле 8" o:spid="_x0000_s1029" type="#_x0000_t202" style="position:absolute;margin-left:-9.8pt;margin-top:2.65pt;width:467.25pt;height:96.7pt;z-index:251657728;visibility:visible;v-text-anchor:middle" filled="f" stroked="f" strokeweight=".5pt">
            <v:textbox style="mso-next-textbox:#Поле 8">
              <w:txbxContent>
                <w:p w:rsidR="00D13CDC" w:rsidRPr="008F03DA" w:rsidRDefault="00D13CDC" w:rsidP="008F03DA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r w:rsidRPr="008F03DA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Чи однакові основні реквізити розрахункового документа (фіскального касового чека) для чеків, створених РРО та ПРРО?</w:t>
                  </w:r>
                </w:p>
                <w:p w:rsidR="00D13CDC" w:rsidRPr="008F03DA" w:rsidRDefault="00D13CDC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D13CDC" w:rsidRPr="00266786" w:rsidRDefault="00D13CDC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946D0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946D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0.15pt;width:190pt;height:25.5pt;z-index:251656704;visibility:visible" filled="f" stroked="f" strokeweight=".5pt">
            <v:textbox style="mso-next-textbox:#Поле 9">
              <w:txbxContent>
                <w:p w:rsidR="00D13CDC" w:rsidRPr="008F03DA" w:rsidRDefault="00D13CD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D13CDC" w:rsidRDefault="00D13CD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13CDC" w:rsidRPr="00026C80" w:rsidRDefault="00D13CD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F03DA" w:rsidRDefault="008F03DA" w:rsidP="008F03DA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8F03DA" w:rsidRPr="008F03DA" w:rsidRDefault="008F03DA" w:rsidP="008F03DA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8F03DA" w:rsidRPr="008F03DA" w:rsidRDefault="00B23C1D" w:rsidP="008F03D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8F03DA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124E18" w:rsidRPr="00224A9A">
        <w:rPr>
          <w:rFonts w:ascii="e-Ukraine" w:hAnsi="e-Ukraine" w:cs="Arial"/>
          <w:sz w:val="20"/>
          <w:szCs w:val="20"/>
        </w:rPr>
        <w:t>(територія обслуговування - м. Дніпро)</w:t>
      </w:r>
      <w:r w:rsidR="00D278F5">
        <w:rPr>
          <w:rFonts w:ascii="e-Ukraine" w:hAnsi="e-Ukraine" w:cs="Arial"/>
          <w:sz w:val="20"/>
          <w:szCs w:val="20"/>
        </w:rPr>
        <w:t xml:space="preserve"> </w:t>
      </w:r>
      <w:r w:rsidR="008F03DA" w:rsidRPr="008F03DA">
        <w:rPr>
          <w:rFonts w:ascii="e-Ukraine" w:hAnsi="e-Ukraine" w:cs="Arial"/>
          <w:sz w:val="20"/>
          <w:szCs w:val="20"/>
        </w:rPr>
        <w:t xml:space="preserve">нагадує, що пунктами 1 та 2 ст. 3 Закону України від 06 липня 1995 року </w:t>
      </w:r>
      <w:r w:rsidR="00D278F5">
        <w:rPr>
          <w:rFonts w:ascii="e-Ukraine" w:hAnsi="e-Ukraine" w:cs="Arial"/>
          <w:sz w:val="20"/>
          <w:szCs w:val="20"/>
        </w:rPr>
        <w:t xml:space="preserve">    </w:t>
      </w:r>
      <w:r w:rsidR="008F03DA" w:rsidRPr="008F03DA">
        <w:rPr>
          <w:rFonts w:ascii="e-Ukraine" w:hAnsi="e-Ukraine" w:cs="Arial"/>
          <w:sz w:val="20"/>
          <w:szCs w:val="20"/>
        </w:rPr>
        <w:t>№ 265/95-ВР «Про застосування реєстраторів розрахункових операцій у сфері торгівлі, громадського харчування та послуг» (із змінами та доповненнями) (далі – Закон № 265), зокрема, встановлено, що суб’єкти господарювання, які здійснюють розрахункові операції в готівковій та/або в безготівковій формі при продажу товарів (наданні послуг) у сфері торгівлі, громадського харчування та послуг, а також операції з приймання готівки для виконання платіжної операції зобов’язані проводити розрахункові операції на повну суму покупки (надання послуги) через зареєстровані, опломбовані у встановленому порядку та переведені у фіскальний режим роботи реєстратори розрахункових операцій (далі – РРО) або через зареєстровані фіскальним сервером контролюючого органу програмні РРО (далі – ПРРО) зі створенням у паперовій та/або електронній формі відповідних розрахункових документів, що підтверджують виконання розрахункових операцій. Надавати особі, яка отримує або повертає товар, отримує послугу або відм</w:t>
      </w:r>
      <w:r w:rsidR="00D13CDC">
        <w:rPr>
          <w:rFonts w:ascii="e-Ukraine" w:hAnsi="e-Ukraine" w:cs="Arial"/>
          <w:sz w:val="20"/>
          <w:szCs w:val="20"/>
        </w:rPr>
        <w:t>овляється від неї, включаючи ті</w:t>
      </w:r>
      <w:r w:rsidR="008F03DA" w:rsidRPr="008F03DA">
        <w:rPr>
          <w:rFonts w:ascii="e-Ukraine" w:hAnsi="e-Ukraine" w:cs="Arial"/>
          <w:sz w:val="20"/>
          <w:szCs w:val="20"/>
        </w:rPr>
        <w:t xml:space="preserve"> замовлення або оплата яких здійснюється з використанням мережі Інтернет, при отриманні товарів (послуг) в обов’язковому порядку розрахунковий документ встановленої форми та змісту на повну суму проведеної операції, створений в паперовій та/або електронній формі.  </w:t>
      </w:r>
    </w:p>
    <w:p w:rsidR="008F03DA" w:rsidRPr="008F03DA" w:rsidRDefault="008F03DA" w:rsidP="008F03D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8F03DA">
        <w:rPr>
          <w:rFonts w:ascii="e-Ukraine" w:hAnsi="e-Ukraine" w:cs="Arial"/>
          <w:sz w:val="20"/>
          <w:szCs w:val="20"/>
        </w:rPr>
        <w:t xml:space="preserve">Форма та зміст розрахункових документів встановлені Положенням про форму та зміст розрахункових документів/електронних розрахункових документів, затвердженим наказом Міністерства фінансів України 21.01.2016 № 13 із змінами та доповненнями (далі – Положення № 13), що розроблене відповідно до ст. 8 Закону </w:t>
      </w:r>
      <w:r w:rsidR="00953782">
        <w:rPr>
          <w:rFonts w:ascii="e-Ukraine" w:hAnsi="e-Ukraine" w:cs="Arial"/>
          <w:sz w:val="20"/>
          <w:szCs w:val="20"/>
        </w:rPr>
        <w:t xml:space="preserve">   </w:t>
      </w:r>
      <w:r w:rsidRPr="008F03DA">
        <w:rPr>
          <w:rFonts w:ascii="e-Ukraine" w:hAnsi="e-Ukraine" w:cs="Arial"/>
          <w:sz w:val="20"/>
          <w:szCs w:val="20"/>
        </w:rPr>
        <w:t xml:space="preserve">№ 265.  </w:t>
      </w:r>
    </w:p>
    <w:p w:rsidR="008F03DA" w:rsidRPr="008F03DA" w:rsidRDefault="008F03DA" w:rsidP="008F03D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8F03DA">
        <w:rPr>
          <w:rFonts w:ascii="e-Ukraine" w:hAnsi="e-Ukraine" w:cs="Arial"/>
          <w:sz w:val="20"/>
          <w:szCs w:val="20"/>
        </w:rPr>
        <w:t xml:space="preserve">Вимоги Положення № 13 поширюються на розрахункові документи, створені РРО/ПРРО, крім розрахункових проїзних та перевізних документів на залізничному (крім приміського) й авіаційному транспорті, квитків на міські та приміські автомобільні маршрути, міський електротранспорт, білетів державних лотерей, квитанцій на послуги поштового зв’язку.  </w:t>
      </w:r>
    </w:p>
    <w:p w:rsidR="008F03DA" w:rsidRPr="008F03DA" w:rsidRDefault="008F03DA" w:rsidP="008F03D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8F03DA">
        <w:rPr>
          <w:rFonts w:ascii="e-Ukraine" w:hAnsi="e-Ukraine" w:cs="Arial"/>
          <w:sz w:val="20"/>
          <w:szCs w:val="20"/>
        </w:rPr>
        <w:t xml:space="preserve">Отже, основні реквізити розрахункового документа (фіскального касового чека), визначені Положенням № 13, однакові для чеків, створених РРО та ПРРО.  </w:t>
      </w:r>
    </w:p>
    <w:p w:rsidR="008F03DA" w:rsidRPr="008F03DA" w:rsidRDefault="008F03DA" w:rsidP="008F03D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8F03DA">
        <w:rPr>
          <w:rFonts w:ascii="e-Ukraine" w:hAnsi="e-Ukraine" w:cs="Arial"/>
          <w:sz w:val="20"/>
          <w:szCs w:val="20"/>
        </w:rPr>
        <w:t xml:space="preserve">Про відмінності щодо реквізитів, які не повинен містити чек ПРРО, наприклад заводський номер РРО, чи про відмітку режиму роботи </w:t>
      </w:r>
      <w:proofErr w:type="spellStart"/>
      <w:r w:rsidRPr="008F03DA">
        <w:rPr>
          <w:rFonts w:ascii="e-Ukraine" w:hAnsi="e-Ukraine" w:cs="Arial"/>
          <w:sz w:val="20"/>
          <w:szCs w:val="20"/>
        </w:rPr>
        <w:t>онлайн</w:t>
      </w:r>
      <w:proofErr w:type="spellEnd"/>
      <w:r w:rsidRPr="008F03DA">
        <w:rPr>
          <w:rFonts w:ascii="e-Ukraine" w:hAnsi="e-Ukraine" w:cs="Arial"/>
          <w:sz w:val="20"/>
          <w:szCs w:val="20"/>
        </w:rPr>
        <w:t>/</w:t>
      </w:r>
      <w:proofErr w:type="spellStart"/>
      <w:r w:rsidRPr="008F03DA">
        <w:rPr>
          <w:rFonts w:ascii="e-Ukraine" w:hAnsi="e-Ukraine" w:cs="Arial"/>
          <w:sz w:val="20"/>
          <w:szCs w:val="20"/>
        </w:rPr>
        <w:t>офлайн</w:t>
      </w:r>
      <w:proofErr w:type="spellEnd"/>
      <w:r w:rsidRPr="008F03DA">
        <w:rPr>
          <w:rFonts w:ascii="e-Ukraine" w:hAnsi="e-Ukraine" w:cs="Arial"/>
          <w:sz w:val="20"/>
          <w:szCs w:val="20"/>
        </w:rPr>
        <w:t xml:space="preserve">, яку не повинен містити чек РРО, зазначено у п. 2 </w:t>
      </w:r>
      <w:proofErr w:type="spellStart"/>
      <w:r w:rsidRPr="008F03DA">
        <w:rPr>
          <w:rFonts w:ascii="e-Ukraine" w:hAnsi="e-Ukraine" w:cs="Arial"/>
          <w:sz w:val="20"/>
          <w:szCs w:val="20"/>
        </w:rPr>
        <w:t>розд</w:t>
      </w:r>
      <w:proofErr w:type="spellEnd"/>
      <w:r w:rsidRPr="008F03DA">
        <w:rPr>
          <w:rFonts w:ascii="e-Ukraine" w:hAnsi="e-Ukraine" w:cs="Arial"/>
          <w:sz w:val="20"/>
          <w:szCs w:val="20"/>
        </w:rPr>
        <w:t xml:space="preserve">. ІІ Положення № 13 та у примітці до форми чеку (додаток 1 до Положення № 13).  </w:t>
      </w:r>
    </w:p>
    <w:p w:rsidR="008F03DA" w:rsidRPr="008F03DA" w:rsidRDefault="008F03DA" w:rsidP="008F03D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8F03DA">
        <w:rPr>
          <w:rFonts w:ascii="e-Ukraine" w:hAnsi="e-Ukraine" w:cs="Arial"/>
          <w:sz w:val="20"/>
          <w:szCs w:val="20"/>
        </w:rPr>
        <w:t xml:space="preserve">Нагадуємо, що за допомогою цифрового сервісу ДПС України «TAX </w:t>
      </w:r>
      <w:proofErr w:type="spellStart"/>
      <w:r w:rsidRPr="008F03DA">
        <w:rPr>
          <w:rFonts w:ascii="e-Ukraine" w:hAnsi="e-Ukraine" w:cs="Arial"/>
          <w:sz w:val="20"/>
          <w:szCs w:val="20"/>
        </w:rPr>
        <w:t>Control</w:t>
      </w:r>
      <w:proofErr w:type="spellEnd"/>
      <w:r w:rsidRPr="008F03DA">
        <w:rPr>
          <w:rFonts w:ascii="e-Ukraine" w:hAnsi="e-Ukraine" w:cs="Arial"/>
          <w:sz w:val="20"/>
          <w:szCs w:val="20"/>
        </w:rPr>
        <w:t xml:space="preserve">», </w:t>
      </w:r>
      <w:proofErr w:type="spellStart"/>
      <w:r w:rsidRPr="008F03DA">
        <w:rPr>
          <w:rFonts w:ascii="e-Ukraine" w:hAnsi="e-Ukraine" w:cs="Arial"/>
          <w:sz w:val="20"/>
          <w:szCs w:val="20"/>
        </w:rPr>
        <w:t>віджет</w:t>
      </w:r>
      <w:proofErr w:type="spellEnd"/>
      <w:r w:rsidRPr="008F03DA">
        <w:rPr>
          <w:rFonts w:ascii="e-Ukraine" w:hAnsi="e-Ukraine" w:cs="Arial"/>
          <w:sz w:val="20"/>
          <w:szCs w:val="20"/>
        </w:rPr>
        <w:t xml:space="preserve"> якого розміщено на </w:t>
      </w:r>
      <w:proofErr w:type="spellStart"/>
      <w:r w:rsidRPr="008F03DA">
        <w:rPr>
          <w:rFonts w:ascii="e-Ukraine" w:hAnsi="e-Ukraine" w:cs="Arial"/>
          <w:sz w:val="20"/>
          <w:szCs w:val="20"/>
        </w:rPr>
        <w:t>вебпорталі</w:t>
      </w:r>
      <w:proofErr w:type="spellEnd"/>
      <w:r w:rsidRPr="008F03DA">
        <w:rPr>
          <w:rFonts w:ascii="e-Ukraine" w:hAnsi="e-Ukraine" w:cs="Arial"/>
          <w:sz w:val="20"/>
          <w:szCs w:val="20"/>
        </w:rPr>
        <w:t xml:space="preserve"> ДПС у правому верхньому куті, можна оперативно повідомити про: невидачу фіскального чека; торгівлю без ліцензії чи з порушенням реалізації підакцизної продукції; відмову прийняти платіжну картку;  роботу без державної реєстрації; неоформлених працівників.  </w:t>
      </w:r>
    </w:p>
    <w:p w:rsidR="00CA4D35" w:rsidRPr="00CA4D35" w:rsidRDefault="000F5D25" w:rsidP="008F03D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CA4D3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A458D3" w:rsidRPr="00D278F5" w:rsidRDefault="00270072" w:rsidP="00D278F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946D0" w:rsidRPr="008946D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D13CDC" w:rsidRPr="008F03DA" w:rsidRDefault="00D13CDC" w:rsidP="008F03D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13CDC" w:rsidRPr="008F03DA" w:rsidRDefault="00D13CDC" w:rsidP="008F03D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13CDC" w:rsidRPr="008F03DA" w:rsidRDefault="00D13CDC" w:rsidP="008F03D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D13CDC" w:rsidRPr="008F03DA" w:rsidRDefault="00D13CDC" w:rsidP="008F03D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F03D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13CDC" w:rsidRPr="00DE663D" w:rsidRDefault="00D13CDC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D278F5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1542F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4E18"/>
    <w:rsid w:val="00126476"/>
    <w:rsid w:val="0013082A"/>
    <w:rsid w:val="00130F4E"/>
    <w:rsid w:val="00131563"/>
    <w:rsid w:val="001316C6"/>
    <w:rsid w:val="001333F0"/>
    <w:rsid w:val="001357A1"/>
    <w:rsid w:val="00137510"/>
    <w:rsid w:val="00141426"/>
    <w:rsid w:val="00142A43"/>
    <w:rsid w:val="00144EA3"/>
    <w:rsid w:val="001458C5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1522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1A91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6B3A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2E0"/>
    <w:rsid w:val="008003FA"/>
    <w:rsid w:val="00805555"/>
    <w:rsid w:val="00806DB8"/>
    <w:rsid w:val="0080792C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6D0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3DA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782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582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A4D35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3CDC"/>
    <w:rsid w:val="00D14AAE"/>
    <w:rsid w:val="00D14B04"/>
    <w:rsid w:val="00D16192"/>
    <w:rsid w:val="00D17F08"/>
    <w:rsid w:val="00D278F5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9AD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07FD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3C578-A2B9-4CE4-9999-38241BD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2020-08-10T07:25:00Z</cp:lastPrinted>
  <dcterms:created xsi:type="dcterms:W3CDTF">2025-12-10T14:54:00Z</dcterms:created>
  <dcterms:modified xsi:type="dcterms:W3CDTF">2026-01-23T13:53:00Z</dcterms:modified>
</cp:coreProperties>
</file>