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C347E1">
      <w:pPr>
        <w:rPr>
          <w:rFonts w:ascii="e-Ukraine" w:hAnsi="e-Ukraine" w:cs="e-Ukraine"/>
        </w:rPr>
      </w:pPr>
      <w:r w:rsidRPr="00C347E1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6.05pt;z-index:251655680;visibility:visible" filled="f" stroked="f" strokeweight=".5pt">
            <v:textbox style="mso-next-textbox:#Поле 21">
              <w:txbxContent>
                <w:p w:rsidR="007563A3" w:rsidRPr="002F6351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2F635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2F6351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7563A3" w:rsidRPr="002F6351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2F635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2F6351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2F635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C347E1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C347E1">
      <w:pPr>
        <w:rPr>
          <w:rFonts w:ascii="e-Ukraine" w:hAnsi="e-Ukraine" w:cs="e-Ukraine"/>
        </w:rPr>
      </w:pPr>
      <w:r w:rsidRPr="00C347E1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C347E1">
      <w:pPr>
        <w:rPr>
          <w:rFonts w:ascii="e-Ukraine" w:hAnsi="e-Ukraine" w:cs="e-Ukraine"/>
        </w:rPr>
      </w:pPr>
      <w:r w:rsidRPr="00C347E1">
        <w:rPr>
          <w:noProof/>
          <w:lang w:val="ru-RU" w:eastAsia="ru-RU"/>
        </w:rPr>
        <w:pict>
          <v:shape id="Поле 8" o:spid="_x0000_s1029" type="#_x0000_t202" style="position:absolute;margin-left:-9.8pt;margin-top:19.3pt;width:423pt;height:50.6pt;z-index:251657728;visibility:visible;v-text-anchor:middle" filled="f" stroked="f" strokeweight=".5pt">
            <v:textbox style="mso-next-textbox:#Поле 8">
              <w:txbxContent>
                <w:p w:rsidR="00FE6206" w:rsidRPr="00AE475C" w:rsidRDefault="00FE6206" w:rsidP="00AE475C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eastAsia="ru-RU"/>
                    </w:rPr>
                  </w:pPr>
                  <w:r w:rsidRPr="00AE475C"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eastAsia="ru-RU"/>
                    </w:rPr>
                    <w:t xml:space="preserve">Офіс податкових консультантів – </w:t>
                  </w:r>
                  <w:proofErr w:type="spellStart"/>
                  <w:r w:rsidRPr="00AE475C"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eastAsia="ru-RU"/>
                    </w:rPr>
                    <w:t>проактивний</w:t>
                  </w:r>
                  <w:proofErr w:type="spellEnd"/>
                  <w:r w:rsidRPr="00AE475C"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eastAsia="ru-RU"/>
                    </w:rPr>
                    <w:t xml:space="preserve"> податковий сервіс</w:t>
                  </w:r>
                </w:p>
                <w:p w:rsidR="00B9473A" w:rsidRPr="00266786" w:rsidRDefault="00B9473A" w:rsidP="00FE620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C347E1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347E1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5.55pt;width:190pt;height:26.35pt;z-index:251656704;visibility:visible" filled="f" stroked="f" strokeweight=".5pt">
            <v:textbox style="mso-next-textbox:#Поле 9">
              <w:txbxContent>
                <w:p w:rsidR="007563A3" w:rsidRPr="00AE475C" w:rsidRDefault="00AE475C" w:rsidP="00BE5853">
                  <w:pPr>
                    <w:rPr>
                      <w:rFonts w:ascii="e-Ukraine" w:hAnsi="e-Ukraine" w:cs="Arial"/>
                      <w:i/>
                    </w:rPr>
                  </w:pPr>
                  <w:r w:rsidRPr="00AE475C">
                    <w:rPr>
                      <w:rFonts w:ascii="e-Ukraine" w:hAnsi="e-Ukraine" w:cs="Arial"/>
                      <w:i/>
                    </w:rPr>
                    <w:t>січень</w:t>
                  </w:r>
                  <w:r w:rsidR="007563A3" w:rsidRPr="00AE475C">
                    <w:rPr>
                      <w:rFonts w:ascii="e-Ukraine" w:hAnsi="e-Ukraine" w:cs="Arial"/>
                      <w:i/>
                    </w:rPr>
                    <w:t xml:space="preserve"> 202</w:t>
                  </w:r>
                  <w:r w:rsidRPr="00AE475C">
                    <w:rPr>
                      <w:rFonts w:ascii="e-Ukraine" w:hAnsi="e-Ukraine" w:cs="Arial"/>
                      <w:i/>
                    </w:rPr>
                    <w:t>6</w:t>
                  </w:r>
                  <w:r w:rsidR="007563A3" w:rsidRPr="00AE475C">
                    <w:rPr>
                      <w:rFonts w:ascii="e-Ukraine" w:hAnsi="e-Ukraine" w:cs="Arial"/>
                      <w:i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16"/>
          <w:szCs w:val="16"/>
        </w:rPr>
      </w:pPr>
    </w:p>
    <w:p w:rsidR="00FE6206" w:rsidRPr="00AE475C" w:rsidRDefault="00B23C1D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B243EB">
        <w:rPr>
          <w:rFonts w:ascii="e-Ukraine" w:hAnsi="e-Ukraine" w:cs="Arial"/>
          <w:sz w:val="20"/>
          <w:szCs w:val="20"/>
        </w:rPr>
        <w:t>(територія обслуговування - м. Дніпро)</w:t>
      </w:r>
      <w:r w:rsidR="00B243EB" w:rsidRPr="002F6351">
        <w:rPr>
          <w:rFonts w:ascii="e-Ukraine" w:hAnsi="e-Ukraine" w:cs="Arial"/>
          <w:sz w:val="20"/>
          <w:szCs w:val="20"/>
        </w:rPr>
        <w:t xml:space="preserve"> </w:t>
      </w:r>
      <w:r w:rsidR="00FE6206" w:rsidRPr="00AE475C">
        <w:rPr>
          <w:rFonts w:ascii="e-Ukraine" w:hAnsi="e-Ukraine" w:cs="Arial"/>
          <w:sz w:val="20"/>
          <w:szCs w:val="20"/>
        </w:rPr>
        <w:t xml:space="preserve">нагадує, що Офіс податкових консультантів (Офіс), який запрацював на Дніпропетровщині з початку вересня, – це ініціатива, що запроваджена у відповідь на потреби бізнесу.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Офіс – </w:t>
      </w:r>
      <w:proofErr w:type="spellStart"/>
      <w:r w:rsidRPr="00AE475C">
        <w:rPr>
          <w:rFonts w:ascii="e-Ukraine" w:hAnsi="e-Ukraine" w:cs="Arial"/>
          <w:sz w:val="20"/>
          <w:szCs w:val="20"/>
        </w:rPr>
        <w:t>проактивний</w:t>
      </w:r>
      <w:proofErr w:type="spellEnd"/>
      <w:r w:rsidRPr="00AE475C">
        <w:rPr>
          <w:rFonts w:ascii="e-Ukraine" w:hAnsi="e-Ukraine" w:cs="Arial"/>
          <w:sz w:val="20"/>
          <w:szCs w:val="20"/>
        </w:rPr>
        <w:t xml:space="preserve"> сервіс, орієнтований на комунікацію з платниками за принципами рівних можливостей, поваги та інклюзії. 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Кожен платник, який сьогодні продовжує працювати, платити податки й утримувати економіку, потребує максимальної підтримки держави. Сервісний підхід – реальний інструмент реалізації цієї концепції.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Принципи роботи Офісу: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доступність – консультації безоплатні та доступні для всіх платників; 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комплексність – охоплення всіх податкових напрямів в одному місці;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персоналізація – індивідуальний підхід до кожного платника;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прозорість – фіксація всіх консультацій, чіткі строки, зрозумілі процедури;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професійність – фаховий, висококваліфікований підхід;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конфіденційність – збереження та захист даних отриманих під час консультацій;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неупередженість – рівний підхід до всіх платників незалежно від розміру бізнесу, форми власності та виду діяльності;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</w:t>
      </w:r>
      <w:proofErr w:type="spellStart"/>
      <w:r w:rsidRPr="00AE475C">
        <w:rPr>
          <w:rFonts w:ascii="e-Ukraine" w:hAnsi="e-Ukraine" w:cs="Arial"/>
          <w:sz w:val="20"/>
          <w:szCs w:val="20"/>
        </w:rPr>
        <w:t>безбар’єрність</w:t>
      </w:r>
      <w:proofErr w:type="spellEnd"/>
      <w:r w:rsidRPr="00AE475C">
        <w:rPr>
          <w:rFonts w:ascii="e-Ukraine" w:hAnsi="e-Ukraine" w:cs="Arial"/>
          <w:sz w:val="20"/>
          <w:szCs w:val="20"/>
        </w:rPr>
        <w:t xml:space="preserve">: 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інклюзивна – підтримка людей з інвалідністю та залучення їх до бізнес-середовища,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фізична – доступність Офісу для всіх платників та супровід модератора,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інформаційна – консультації з урахуванням індивідуальних потреб платника,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цифрова – застосування електронних ресурсів ДПС. 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В Офісі консультації платникам надаються за такими напрямами: 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оподаткування фізичних осіб;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оподаткування </w:t>
      </w:r>
      <w:proofErr w:type="spellStart"/>
      <w:r w:rsidRPr="00AE475C">
        <w:rPr>
          <w:rFonts w:ascii="e-Ukraine" w:hAnsi="e-Ukraine" w:cs="Arial"/>
          <w:sz w:val="20"/>
          <w:szCs w:val="20"/>
        </w:rPr>
        <w:t>ФОПів</w:t>
      </w:r>
      <w:proofErr w:type="spellEnd"/>
      <w:r w:rsidRPr="00AE475C">
        <w:rPr>
          <w:rFonts w:ascii="e-Ukraine" w:hAnsi="e-Ukraine" w:cs="Arial"/>
          <w:sz w:val="20"/>
          <w:szCs w:val="20"/>
        </w:rPr>
        <w:t xml:space="preserve">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оподаткування юридичних осіб;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електронні сервіси та звітність;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податковий аудит, фактичні перевірки та законодавство щодо РРО/ПРРО;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підакцизні товари;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зупинення реєстрації ПН/РК;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погашення податкового боргу та заборгованості з єдиного внеску;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надання кваліфікованих електронних довірчих послуг.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Адреса Офісу: м. Дніпро, проспект Богдана Хмельницького, 25 (перший поверх).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Режим роботи Офісу: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понеділок – п’ятниця – з 08 </w:t>
      </w:r>
      <w:proofErr w:type="spellStart"/>
      <w:r w:rsidRPr="00AE475C">
        <w:rPr>
          <w:rFonts w:ascii="e-Ukraine" w:hAnsi="e-Ukraine" w:cs="Arial"/>
          <w:sz w:val="20"/>
          <w:szCs w:val="20"/>
        </w:rPr>
        <w:t>год</w:t>
      </w:r>
      <w:proofErr w:type="spellEnd"/>
      <w:r w:rsidRPr="00AE475C">
        <w:rPr>
          <w:rFonts w:ascii="e-Ukraine" w:hAnsi="e-Ukraine" w:cs="Arial"/>
          <w:sz w:val="20"/>
          <w:szCs w:val="20"/>
        </w:rPr>
        <w:t xml:space="preserve"> 30 </w:t>
      </w:r>
      <w:proofErr w:type="spellStart"/>
      <w:r w:rsidRPr="00AE475C">
        <w:rPr>
          <w:rFonts w:ascii="e-Ukraine" w:hAnsi="e-Ukraine" w:cs="Arial"/>
          <w:sz w:val="20"/>
          <w:szCs w:val="20"/>
        </w:rPr>
        <w:t>хв</w:t>
      </w:r>
      <w:proofErr w:type="spellEnd"/>
      <w:r w:rsidRPr="00AE475C">
        <w:rPr>
          <w:rFonts w:ascii="e-Ukraine" w:hAnsi="e-Ukraine" w:cs="Arial"/>
          <w:sz w:val="20"/>
          <w:szCs w:val="20"/>
        </w:rPr>
        <w:t xml:space="preserve"> до 17 </w:t>
      </w:r>
      <w:proofErr w:type="spellStart"/>
      <w:r w:rsidRPr="00AE475C">
        <w:rPr>
          <w:rFonts w:ascii="e-Ukraine" w:hAnsi="e-Ukraine" w:cs="Arial"/>
          <w:sz w:val="20"/>
          <w:szCs w:val="20"/>
        </w:rPr>
        <w:t>год</w:t>
      </w:r>
      <w:proofErr w:type="spellEnd"/>
      <w:r w:rsidRPr="00AE475C">
        <w:rPr>
          <w:rFonts w:ascii="e-Ukraine" w:hAnsi="e-Ukraine" w:cs="Arial"/>
          <w:sz w:val="20"/>
          <w:szCs w:val="20"/>
        </w:rPr>
        <w:t xml:space="preserve"> 00 </w:t>
      </w:r>
      <w:proofErr w:type="spellStart"/>
      <w:r w:rsidRPr="00AE475C">
        <w:rPr>
          <w:rFonts w:ascii="e-Ukraine" w:hAnsi="e-Ukraine" w:cs="Arial"/>
          <w:sz w:val="20"/>
          <w:szCs w:val="20"/>
        </w:rPr>
        <w:t>хв</w:t>
      </w:r>
      <w:proofErr w:type="spellEnd"/>
      <w:r w:rsidRPr="00AE475C">
        <w:rPr>
          <w:rFonts w:ascii="e-Ukraine" w:hAnsi="e-Ukraine" w:cs="Arial"/>
          <w:sz w:val="20"/>
          <w:szCs w:val="20"/>
        </w:rPr>
        <w:t xml:space="preserve">, 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обідня перерва – з 12 </w:t>
      </w:r>
      <w:proofErr w:type="spellStart"/>
      <w:r w:rsidRPr="00AE475C">
        <w:rPr>
          <w:rFonts w:ascii="e-Ukraine" w:hAnsi="e-Ukraine" w:cs="Arial"/>
          <w:sz w:val="20"/>
          <w:szCs w:val="20"/>
        </w:rPr>
        <w:t>год</w:t>
      </w:r>
      <w:proofErr w:type="spellEnd"/>
      <w:r w:rsidRPr="00AE475C">
        <w:rPr>
          <w:rFonts w:ascii="e-Ukraine" w:hAnsi="e-Ukraine" w:cs="Arial"/>
          <w:sz w:val="20"/>
          <w:szCs w:val="20"/>
        </w:rPr>
        <w:t xml:space="preserve"> 30 </w:t>
      </w:r>
      <w:proofErr w:type="spellStart"/>
      <w:r w:rsidRPr="00AE475C">
        <w:rPr>
          <w:rFonts w:ascii="e-Ukraine" w:hAnsi="e-Ukraine" w:cs="Arial"/>
          <w:sz w:val="20"/>
          <w:szCs w:val="20"/>
        </w:rPr>
        <w:t>хв</w:t>
      </w:r>
      <w:proofErr w:type="spellEnd"/>
      <w:r w:rsidRPr="00AE475C">
        <w:rPr>
          <w:rFonts w:ascii="e-Ukraine" w:hAnsi="e-Ukraine" w:cs="Arial"/>
          <w:sz w:val="20"/>
          <w:szCs w:val="20"/>
        </w:rPr>
        <w:t xml:space="preserve"> до 13 </w:t>
      </w:r>
      <w:proofErr w:type="spellStart"/>
      <w:r w:rsidRPr="00AE475C">
        <w:rPr>
          <w:rFonts w:ascii="e-Ukraine" w:hAnsi="e-Ukraine" w:cs="Arial"/>
          <w:sz w:val="20"/>
          <w:szCs w:val="20"/>
        </w:rPr>
        <w:t>год</w:t>
      </w:r>
      <w:proofErr w:type="spellEnd"/>
      <w:r w:rsidRPr="00AE475C">
        <w:rPr>
          <w:rFonts w:ascii="e-Ukraine" w:hAnsi="e-Ukraine" w:cs="Arial"/>
          <w:sz w:val="20"/>
          <w:szCs w:val="20"/>
        </w:rPr>
        <w:t xml:space="preserve"> 00 </w:t>
      </w:r>
      <w:proofErr w:type="spellStart"/>
      <w:r w:rsidRPr="00AE475C">
        <w:rPr>
          <w:rFonts w:ascii="e-Ukraine" w:hAnsi="e-Ukraine" w:cs="Arial"/>
          <w:sz w:val="20"/>
          <w:szCs w:val="20"/>
        </w:rPr>
        <w:t>хв</w:t>
      </w:r>
      <w:proofErr w:type="spellEnd"/>
      <w:r w:rsidRPr="00AE475C">
        <w:rPr>
          <w:rFonts w:ascii="e-Ukraine" w:hAnsi="e-Ukraine" w:cs="Arial"/>
          <w:sz w:val="20"/>
          <w:szCs w:val="20"/>
        </w:rPr>
        <w:t xml:space="preserve">, 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субота та неділя – вихідні дні. 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Важливо! Під час повітряної тривоги надання консультацій припиняється. </w:t>
      </w:r>
    </w:p>
    <w:p w:rsidR="00FE6206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Отримуйте оперативну та якісну допомогу у зручному форматі! </w:t>
      </w:r>
    </w:p>
    <w:p w:rsidR="00AE475C" w:rsidRDefault="00AE475C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</w:p>
    <w:p w:rsidR="00AE475C" w:rsidRPr="00AE475C" w:rsidRDefault="00AE475C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C347E1" w:rsidRPr="00C347E1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AE475C" w:rsidRDefault="007563A3" w:rsidP="00AE475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E475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AE475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AE475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AE475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AE475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AE475C" w:rsidRDefault="007563A3" w:rsidP="00AE475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E475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AE475C" w:rsidRDefault="007563A3" w:rsidP="00AE475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E475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7563A3" w:rsidRPr="00AE475C" w:rsidRDefault="007563A3" w:rsidP="00AE475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E475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AE475C" w:rsidRDefault="007563A3" w:rsidP="00AE475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A31E7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2F6351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32B0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3FD1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475C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43EB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47E1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4C07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21A1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689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206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EB273-6F15-48D7-83D6-A7BB0D8E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2229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6</cp:revision>
  <cp:lastPrinted>2020-08-10T07:25:00Z</cp:lastPrinted>
  <dcterms:created xsi:type="dcterms:W3CDTF">2025-12-19T12:12:00Z</dcterms:created>
  <dcterms:modified xsi:type="dcterms:W3CDTF">2026-01-23T14:13:00Z</dcterms:modified>
</cp:coreProperties>
</file>