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A966A9">
      <w:pPr>
        <w:rPr>
          <w:rFonts w:ascii="e-Ukraine" w:hAnsi="e-Ukraine" w:cs="e-Ukraine"/>
        </w:rPr>
      </w:pPr>
      <w:r w:rsidRPr="00A966A9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81.45pt;z-index:251655680;visibility:visible" filled="f" stroked="f" strokeweight=".5pt">
            <v:textbox style="mso-next-textbox:#Поле 21">
              <w:txbxContent>
                <w:p w:rsidR="007563A3" w:rsidRPr="00CE4B53" w:rsidRDefault="007563A3" w:rsidP="009A346E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2"/>
                      <w:szCs w:val="32"/>
                    </w:rPr>
                  </w:pPr>
                  <w:r w:rsidRPr="00CE4B53">
                    <w:rPr>
                      <w:rFonts w:ascii="e-Ukraine" w:hAnsi="e-Ukraine" w:cs="Arial"/>
                      <w:bCs/>
                      <w:sz w:val="32"/>
                      <w:szCs w:val="32"/>
                    </w:rPr>
                    <w:t>Державна податкова служба України</w:t>
                  </w:r>
                </w:p>
                <w:p w:rsidR="007563A3" w:rsidRPr="00CE4B53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2"/>
                      <w:szCs w:val="32"/>
                    </w:rPr>
                  </w:pPr>
                </w:p>
                <w:p w:rsidR="007563A3" w:rsidRPr="00CE4B53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2"/>
                      <w:szCs w:val="32"/>
                    </w:rPr>
                  </w:pPr>
                  <w:r w:rsidRPr="00CE4B53">
                    <w:rPr>
                      <w:rFonts w:ascii="e-Ukraine" w:hAnsi="e-Ukraine" w:cs="Arial"/>
                      <w:bCs/>
                      <w:sz w:val="32"/>
                      <w:szCs w:val="32"/>
                    </w:rPr>
                    <w:t>Головне управління ДПС у</w:t>
                  </w: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CE4B53">
                    <w:rPr>
                      <w:rFonts w:ascii="e-Ukraine" w:hAnsi="e-Ukraine" w:cs="Arial"/>
                      <w:bCs/>
                      <w:sz w:val="32"/>
                      <w:szCs w:val="32"/>
                    </w:rPr>
                    <w:t>Дніпропетровській області</w:t>
                  </w:r>
                </w:p>
              </w:txbxContent>
            </v:textbox>
          </v:shape>
        </w:pict>
      </w:r>
      <w:r w:rsidRPr="00A966A9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</w:p>
    <w:p w:rsidR="00536575" w:rsidRPr="001908A7" w:rsidRDefault="00A966A9">
      <w:pPr>
        <w:rPr>
          <w:rFonts w:ascii="e-Ukraine" w:hAnsi="e-Ukraine" w:cs="e-Ukraine"/>
        </w:rPr>
      </w:pPr>
      <w:r w:rsidRPr="00A966A9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443FEF">
        <w:rPr>
          <w:rFonts w:ascii="e-Ukraine" w:hAnsi="e-Ukraine" w:cs="e-Ukraine"/>
          <w:b/>
          <w:bCs/>
          <w:noProof/>
          <w:sz w:val="48"/>
          <w:szCs w:val="48"/>
          <w:lang w:val="ru-RU" w:eastAsia="ru-RU"/>
        </w:rPr>
        <w:drawing>
          <wp:inline distT="0" distB="0" distL="0" distR="0">
            <wp:extent cx="3057525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A966A9">
      <w:pPr>
        <w:rPr>
          <w:rFonts w:ascii="e-Ukraine" w:hAnsi="e-Ukraine" w:cs="e-Ukraine"/>
        </w:rPr>
      </w:pPr>
      <w:r w:rsidRPr="00A966A9">
        <w:rPr>
          <w:noProof/>
          <w:lang w:val="ru-RU" w:eastAsia="ru-RU"/>
        </w:rPr>
        <w:pict>
          <v:shape id="Поле 8" o:spid="_x0000_s1029" type="#_x0000_t202" style="position:absolute;margin-left:-9.8pt;margin-top:16.3pt;width:425.25pt;height:58.5pt;z-index:251657728;visibility:visible;v-text-anchor:middle" filled="f" stroked="f" strokeweight=".5pt">
            <v:textbox style="mso-next-textbox:#Поле 8">
              <w:txbxContent>
                <w:p w:rsidR="001D4163" w:rsidRPr="00CE4B53" w:rsidRDefault="001D4163" w:rsidP="00CE4B53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e-Ukraine Bold" w:hAnsi="e-Ukraine Bold"/>
                      <w:color w:val="000099"/>
                      <w:sz w:val="36"/>
                      <w:szCs w:val="36"/>
                      <w:lang w:eastAsia="uk-UA"/>
                    </w:rPr>
                  </w:pPr>
                  <w:r w:rsidRPr="00CE4B53">
                    <w:rPr>
                      <w:rFonts w:ascii="e-Ukraine Bold" w:hAnsi="e-Ukraine Bold"/>
                      <w:color w:val="000099"/>
                      <w:sz w:val="36"/>
                      <w:szCs w:val="36"/>
                      <w:lang w:eastAsia="uk-UA"/>
                    </w:rPr>
                    <w:t>Основні випадки подання податкової декларації про майновий стан і доходи</w:t>
                  </w:r>
                </w:p>
                <w:p w:rsidR="00A02F5F" w:rsidRDefault="00A02F5F" w:rsidP="00A02F5F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Times New Roman" w:hAnsi="Times New Roman" w:cs="Times New Roman"/>
                      <w:b/>
                      <w:bCs/>
                      <w:kern w:val="36"/>
                      <w:sz w:val="48"/>
                      <w:szCs w:val="48"/>
                      <w:lang w:eastAsia="ru-RU"/>
                    </w:rPr>
                  </w:pPr>
                </w:p>
                <w:p w:rsidR="00983F4F" w:rsidRPr="00A02F5F" w:rsidRDefault="00983F4F" w:rsidP="00983F4F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b/>
                      <w:bCs/>
                      <w:sz w:val="24"/>
                      <w:szCs w:val="24"/>
                    </w:rPr>
                  </w:pPr>
                </w:p>
                <w:p w:rsidR="0006402D" w:rsidRPr="002D2F5D" w:rsidRDefault="0006402D" w:rsidP="0006402D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b/>
                      <w:bCs/>
                      <w:sz w:val="24"/>
                      <w:szCs w:val="24"/>
                    </w:rPr>
                  </w:pPr>
                </w:p>
                <w:p w:rsidR="00F35831" w:rsidRPr="006A0CC5" w:rsidRDefault="00F35831" w:rsidP="00F35831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b/>
                      <w:bCs/>
                      <w:sz w:val="28"/>
                      <w:szCs w:val="28"/>
                    </w:rPr>
                  </w:pPr>
                </w:p>
                <w:p w:rsidR="008307E9" w:rsidRPr="00902448" w:rsidRDefault="008307E9" w:rsidP="008307E9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Times New Roman" w:hAnsi="Times New Roman" w:cs="Times New Roman"/>
                      <w:b/>
                      <w:bCs/>
                      <w:kern w:val="36"/>
                      <w:sz w:val="48"/>
                      <w:szCs w:val="48"/>
                      <w:lang w:eastAsia="ru-RU"/>
                    </w:rPr>
                  </w:pPr>
                </w:p>
                <w:p w:rsidR="00B9473A" w:rsidRPr="00266786" w:rsidRDefault="00B9473A" w:rsidP="008307E9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/>
          <w:noProof/>
          <w:color w:val="000000"/>
          <w:sz w:val="28"/>
          <w:szCs w:val="28"/>
        </w:rPr>
      </w:pPr>
    </w:p>
    <w:p w:rsidR="00574085" w:rsidRDefault="00A966A9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A966A9">
        <w:rPr>
          <w:noProof/>
          <w:lang w:val="ru-RU" w:eastAsia="ru-RU"/>
        </w:rPr>
        <w:pict>
          <v:shape id="Поле 9" o:spid="_x0000_s1030" type="#_x0000_t202" style="position:absolute;left:0;text-align:left;margin-left:-4.8pt;margin-top:10.3pt;width:190pt;height:26.35pt;z-index:251656704;visibility:visible" filled="f" stroked="f" strokeweight=".5pt">
            <v:textbox style="mso-next-textbox:#Поле 9">
              <w:txbxContent>
                <w:p w:rsidR="007563A3" w:rsidRPr="00CE4B53" w:rsidRDefault="00CE4B53" w:rsidP="00BE5853">
                  <w:pPr>
                    <w:rPr>
                      <w:rFonts w:ascii="e-Ukraine" w:hAnsi="e-Ukraine" w:cs="Arial"/>
                      <w:i/>
                      <w:sz w:val="24"/>
                      <w:szCs w:val="24"/>
                    </w:rPr>
                  </w:pPr>
                  <w:r w:rsidRPr="00CE4B53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>грудень</w:t>
                  </w:r>
                  <w:r w:rsidR="007563A3" w:rsidRPr="00CE4B53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 xml:space="preserve"> 202</w:t>
                  </w:r>
                  <w:r w:rsidR="0090658F" w:rsidRPr="00CE4B53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>5</w:t>
                  </w:r>
                  <w:r w:rsidR="007563A3" w:rsidRPr="00CE4B53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6A0CC5" w:rsidRDefault="006A0CC5" w:rsidP="006A0CC5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</w:rPr>
      </w:pPr>
    </w:p>
    <w:p w:rsidR="00A02F5F" w:rsidRDefault="00A02F5F" w:rsidP="00CE4B53">
      <w:pPr>
        <w:spacing w:after="0" w:line="240" w:lineRule="auto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1D4163" w:rsidRPr="00CE4B53" w:rsidRDefault="00CE4B53" w:rsidP="001D4163">
      <w:pPr>
        <w:spacing w:after="0" w:line="240" w:lineRule="auto"/>
        <w:ind w:firstLine="680"/>
        <w:jc w:val="both"/>
        <w:rPr>
          <w:rFonts w:ascii="e-Ukraine" w:hAnsi="e-Ukraine" w:cs="Arial"/>
          <w:sz w:val="24"/>
          <w:szCs w:val="24"/>
          <w:lang w:eastAsia="uk-UA"/>
        </w:rPr>
      </w:pPr>
      <w:r w:rsidRPr="00CE4B53">
        <w:rPr>
          <w:rFonts w:ascii="e-Ukraine" w:hAnsi="e-Ukraine" w:cs="Arial"/>
          <w:sz w:val="24"/>
          <w:szCs w:val="24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- м. Дніпро) </w:t>
      </w:r>
      <w:r w:rsidR="001D4163" w:rsidRPr="00CE4B53">
        <w:rPr>
          <w:rFonts w:ascii="e-Ukraine" w:hAnsi="e-Ukraine" w:cs="Arial"/>
          <w:sz w:val="24"/>
          <w:szCs w:val="24"/>
          <w:lang w:eastAsia="uk-UA"/>
        </w:rPr>
        <w:t xml:space="preserve">нагадує, що нормами розділу IV «Податок на доходи фізичних осіб» Податкового кодексу України (ПКУ) визначені випадки подання платниками податків податкової декларації про майновий стан і доходи (далі – Декларація). При цьому, ПКУ встановлені випадки, за яких платники податку на доходи фізичних осіб (ПДФО, податок): </w:t>
      </w:r>
    </w:p>
    <w:p w:rsidR="001D4163" w:rsidRPr="00CE4B53" w:rsidRDefault="001D4163" w:rsidP="001D4163">
      <w:pPr>
        <w:spacing w:after="0" w:line="240" w:lineRule="auto"/>
        <w:ind w:firstLine="680"/>
        <w:jc w:val="both"/>
        <w:rPr>
          <w:rFonts w:ascii="e-Ukraine" w:hAnsi="e-Ukraine" w:cs="Arial"/>
          <w:sz w:val="24"/>
          <w:szCs w:val="24"/>
          <w:lang w:eastAsia="uk-UA"/>
        </w:rPr>
      </w:pPr>
      <w:r w:rsidRPr="00CE4B53">
        <w:rPr>
          <w:rFonts w:ascii="e-Ukraine" w:hAnsi="e-Ukraine" w:cs="Arial"/>
          <w:sz w:val="24"/>
          <w:szCs w:val="24"/>
          <w:lang w:eastAsia="uk-UA"/>
        </w:rPr>
        <w:t>- зобов’язані подати до податкового органу Декларацію;</w:t>
      </w:r>
    </w:p>
    <w:p w:rsidR="001D4163" w:rsidRPr="00CE4B53" w:rsidRDefault="001D4163" w:rsidP="001D4163">
      <w:pPr>
        <w:spacing w:after="0" w:line="240" w:lineRule="auto"/>
        <w:ind w:firstLine="680"/>
        <w:jc w:val="both"/>
        <w:rPr>
          <w:rFonts w:ascii="e-Ukraine" w:hAnsi="e-Ukraine" w:cs="Arial"/>
          <w:sz w:val="24"/>
          <w:szCs w:val="24"/>
          <w:lang w:eastAsia="uk-UA"/>
        </w:rPr>
      </w:pPr>
      <w:r w:rsidRPr="00CE4B53">
        <w:rPr>
          <w:rFonts w:ascii="e-Ukraine" w:hAnsi="e-Ukraine" w:cs="Arial"/>
          <w:sz w:val="24"/>
          <w:szCs w:val="24"/>
          <w:lang w:eastAsia="uk-UA"/>
        </w:rPr>
        <w:t>або</w:t>
      </w:r>
    </w:p>
    <w:p w:rsidR="001D4163" w:rsidRPr="00CE4B53" w:rsidRDefault="001D4163" w:rsidP="001D4163">
      <w:pPr>
        <w:spacing w:after="0" w:line="240" w:lineRule="auto"/>
        <w:ind w:firstLine="680"/>
        <w:jc w:val="both"/>
        <w:rPr>
          <w:rFonts w:ascii="e-Ukraine" w:hAnsi="e-Ukraine" w:cs="Arial"/>
          <w:sz w:val="24"/>
          <w:szCs w:val="24"/>
          <w:lang w:eastAsia="uk-UA"/>
        </w:rPr>
      </w:pPr>
      <w:r w:rsidRPr="00CE4B53">
        <w:rPr>
          <w:rFonts w:ascii="e-Ukraine" w:hAnsi="e-Ukraine" w:cs="Arial"/>
          <w:sz w:val="24"/>
          <w:szCs w:val="24"/>
          <w:lang w:eastAsia="uk-UA"/>
        </w:rPr>
        <w:t xml:space="preserve">- мають право подати Декларацію. </w:t>
      </w:r>
    </w:p>
    <w:p w:rsidR="001D4163" w:rsidRPr="00CE4B53" w:rsidRDefault="001D4163" w:rsidP="001D4163">
      <w:pPr>
        <w:spacing w:after="0" w:line="240" w:lineRule="auto"/>
        <w:ind w:firstLine="680"/>
        <w:jc w:val="both"/>
        <w:rPr>
          <w:rFonts w:ascii="e-Ukraine" w:hAnsi="e-Ukraine" w:cs="Arial"/>
          <w:sz w:val="24"/>
          <w:szCs w:val="24"/>
          <w:lang w:eastAsia="uk-UA"/>
        </w:rPr>
      </w:pPr>
      <w:r w:rsidRPr="00CE4B53">
        <w:rPr>
          <w:rFonts w:ascii="e-Ukraine" w:hAnsi="e-Ukraine" w:cs="Arial"/>
          <w:sz w:val="24"/>
          <w:szCs w:val="24"/>
          <w:lang w:eastAsia="uk-UA"/>
        </w:rPr>
        <w:t xml:space="preserve"> Відповідно до норм ПКУ обов’язок щодо подання Декларації у платників виникає при отриманні: </w:t>
      </w:r>
    </w:p>
    <w:p w:rsidR="001D4163" w:rsidRPr="00CE4B53" w:rsidRDefault="001D4163" w:rsidP="001D4163">
      <w:pPr>
        <w:spacing w:after="0" w:line="240" w:lineRule="auto"/>
        <w:ind w:firstLine="680"/>
        <w:jc w:val="both"/>
        <w:rPr>
          <w:rFonts w:ascii="e-Ukraine" w:hAnsi="e-Ukraine" w:cs="Arial"/>
          <w:sz w:val="24"/>
          <w:szCs w:val="24"/>
          <w:lang w:eastAsia="uk-UA"/>
        </w:rPr>
      </w:pPr>
      <w:r w:rsidRPr="00CE4B53">
        <w:rPr>
          <w:rFonts w:ascii="e-Ukraine" w:hAnsi="e-Ukraine" w:cs="Arial"/>
          <w:sz w:val="24"/>
          <w:szCs w:val="24"/>
          <w:lang w:eastAsia="uk-UA"/>
        </w:rPr>
        <w:t xml:space="preserve">- окремих видів оподатковуваних доходів (прибутків), що не підлягають оподаткуванню під час їх нарахування чи виплати, але не є звільненими від оподаткування (п. п. 168.1.3 п. 168.1 ст. 168 ПКУ); </w:t>
      </w:r>
    </w:p>
    <w:p w:rsidR="001D4163" w:rsidRPr="00CE4B53" w:rsidRDefault="001D4163" w:rsidP="001D4163">
      <w:pPr>
        <w:spacing w:after="0" w:line="240" w:lineRule="auto"/>
        <w:ind w:firstLine="680"/>
        <w:jc w:val="both"/>
        <w:rPr>
          <w:rFonts w:ascii="e-Ukraine" w:hAnsi="e-Ukraine" w:cs="Arial"/>
          <w:sz w:val="24"/>
          <w:szCs w:val="24"/>
          <w:lang w:eastAsia="uk-UA"/>
        </w:rPr>
      </w:pPr>
      <w:r w:rsidRPr="00CE4B53">
        <w:rPr>
          <w:rFonts w:ascii="e-Ukraine" w:hAnsi="e-Ukraine" w:cs="Arial"/>
          <w:sz w:val="24"/>
          <w:szCs w:val="24"/>
          <w:lang w:eastAsia="uk-UA"/>
        </w:rPr>
        <w:t xml:space="preserve">- доходів, що отримуються від особи, яка не є податковим агентом                         (п. п. 168.2.1 п.168.2 ст. 168 ПКУ); </w:t>
      </w:r>
    </w:p>
    <w:p w:rsidR="001D4163" w:rsidRPr="00CE4B53" w:rsidRDefault="001D4163" w:rsidP="001D4163">
      <w:pPr>
        <w:spacing w:after="0" w:line="240" w:lineRule="auto"/>
        <w:ind w:firstLine="680"/>
        <w:jc w:val="both"/>
        <w:rPr>
          <w:rFonts w:ascii="e-Ukraine" w:hAnsi="e-Ukraine" w:cs="Arial"/>
          <w:sz w:val="24"/>
          <w:szCs w:val="24"/>
          <w:lang w:eastAsia="uk-UA"/>
        </w:rPr>
      </w:pPr>
      <w:r w:rsidRPr="00CE4B53">
        <w:rPr>
          <w:rFonts w:ascii="e-Ukraine" w:hAnsi="e-Ukraine" w:cs="Arial"/>
          <w:sz w:val="24"/>
          <w:szCs w:val="24"/>
          <w:lang w:eastAsia="uk-UA"/>
        </w:rPr>
        <w:t xml:space="preserve">- іноземних доходів (п. п. 170.11.1 п. 170.11 ст. 170 ПКУ); </w:t>
      </w:r>
    </w:p>
    <w:p w:rsidR="001D4163" w:rsidRPr="00CE4B53" w:rsidRDefault="001D4163" w:rsidP="001D4163">
      <w:pPr>
        <w:spacing w:after="0" w:line="240" w:lineRule="auto"/>
        <w:ind w:firstLine="680"/>
        <w:jc w:val="both"/>
        <w:rPr>
          <w:rFonts w:ascii="e-Ukraine" w:hAnsi="e-Ukraine" w:cs="Arial"/>
          <w:sz w:val="24"/>
          <w:szCs w:val="24"/>
          <w:lang w:eastAsia="uk-UA"/>
        </w:rPr>
      </w:pPr>
      <w:r w:rsidRPr="00CE4B53">
        <w:rPr>
          <w:rFonts w:ascii="e-Ukraine" w:hAnsi="e-Ukraine" w:cs="Arial"/>
          <w:sz w:val="24"/>
          <w:szCs w:val="24"/>
          <w:lang w:eastAsia="uk-UA"/>
        </w:rPr>
        <w:t xml:space="preserve">- доходів від підприємницької діяльності, крім осіб, що обрали спрощену систему оподаткування (ст. 177 ПКУ); </w:t>
      </w:r>
    </w:p>
    <w:p w:rsidR="001D4163" w:rsidRPr="00CE4B53" w:rsidRDefault="001D4163" w:rsidP="001D4163">
      <w:pPr>
        <w:spacing w:after="0" w:line="240" w:lineRule="auto"/>
        <w:ind w:firstLine="680"/>
        <w:jc w:val="both"/>
        <w:rPr>
          <w:rFonts w:ascii="e-Ukraine" w:hAnsi="e-Ukraine" w:cs="Arial"/>
          <w:sz w:val="24"/>
          <w:szCs w:val="24"/>
          <w:lang w:eastAsia="uk-UA"/>
        </w:rPr>
      </w:pPr>
      <w:r w:rsidRPr="00CE4B53">
        <w:rPr>
          <w:rFonts w:ascii="e-Ukraine" w:hAnsi="e-Ukraine" w:cs="Arial"/>
          <w:sz w:val="24"/>
          <w:szCs w:val="24"/>
          <w:lang w:eastAsia="uk-UA"/>
        </w:rPr>
        <w:t xml:space="preserve">- доходів від здійснення незалежної професійної діяльності (ст. 178 ПКУ) </w:t>
      </w:r>
    </w:p>
    <w:p w:rsidR="001D4163" w:rsidRPr="00CE4B53" w:rsidRDefault="001D4163" w:rsidP="001D4163">
      <w:pPr>
        <w:spacing w:after="0" w:line="240" w:lineRule="auto"/>
        <w:ind w:firstLine="680"/>
        <w:jc w:val="both"/>
        <w:rPr>
          <w:rFonts w:ascii="e-Ukraine" w:hAnsi="e-Ukraine" w:cs="Arial"/>
          <w:sz w:val="24"/>
          <w:szCs w:val="24"/>
          <w:lang w:eastAsia="uk-UA"/>
        </w:rPr>
      </w:pPr>
      <w:r w:rsidRPr="00CE4B53">
        <w:rPr>
          <w:rFonts w:ascii="e-Ukraine" w:hAnsi="e-Ukraine" w:cs="Arial"/>
          <w:sz w:val="24"/>
          <w:szCs w:val="24"/>
          <w:lang w:eastAsia="uk-UA"/>
        </w:rPr>
        <w:t xml:space="preserve">- та в інших випадках, передбачених ПКУ. </w:t>
      </w:r>
    </w:p>
    <w:p w:rsidR="001D4163" w:rsidRPr="00CE4B53" w:rsidRDefault="001D4163" w:rsidP="001D4163">
      <w:pPr>
        <w:spacing w:after="0" w:line="240" w:lineRule="auto"/>
        <w:ind w:firstLine="680"/>
        <w:jc w:val="both"/>
        <w:rPr>
          <w:rFonts w:ascii="e-Ukraine" w:hAnsi="e-Ukraine" w:cs="Arial"/>
          <w:sz w:val="24"/>
          <w:szCs w:val="24"/>
          <w:lang w:eastAsia="uk-UA"/>
        </w:rPr>
      </w:pPr>
      <w:r w:rsidRPr="00CE4B53">
        <w:rPr>
          <w:rFonts w:ascii="e-Ukraine" w:hAnsi="e-Ukraine" w:cs="Arial"/>
          <w:sz w:val="24"/>
          <w:szCs w:val="24"/>
          <w:lang w:eastAsia="uk-UA"/>
        </w:rPr>
        <w:t xml:space="preserve">Також зобов’язані подати Декларації: </w:t>
      </w:r>
    </w:p>
    <w:p w:rsidR="001D4163" w:rsidRPr="00CE4B53" w:rsidRDefault="001D4163" w:rsidP="001D4163">
      <w:pPr>
        <w:spacing w:after="0" w:line="240" w:lineRule="auto"/>
        <w:ind w:firstLine="680"/>
        <w:jc w:val="both"/>
        <w:rPr>
          <w:rFonts w:ascii="e-Ukraine" w:hAnsi="e-Ukraine" w:cs="Arial"/>
          <w:sz w:val="24"/>
          <w:szCs w:val="24"/>
          <w:lang w:eastAsia="uk-UA"/>
        </w:rPr>
      </w:pPr>
      <w:r w:rsidRPr="00CE4B53">
        <w:rPr>
          <w:rFonts w:ascii="e-Ukraine" w:hAnsi="e-Ukraine" w:cs="Arial"/>
          <w:sz w:val="24"/>
          <w:szCs w:val="24"/>
          <w:lang w:eastAsia="uk-UA"/>
        </w:rPr>
        <w:t>- іноземці, які за результатами звітного року набули статус резидента України, які мають відобразити у податковій декларації доходи з джерелом їх походження в Україні та іноземні доходи (</w:t>
      </w:r>
      <w:proofErr w:type="spellStart"/>
      <w:r w:rsidRPr="00CE4B53">
        <w:rPr>
          <w:rFonts w:ascii="e-Ukraine" w:hAnsi="e-Ukraine" w:cs="Arial"/>
          <w:sz w:val="24"/>
          <w:szCs w:val="24"/>
          <w:lang w:eastAsia="uk-UA"/>
        </w:rPr>
        <w:t>п.п</w:t>
      </w:r>
      <w:proofErr w:type="spellEnd"/>
      <w:r w:rsidRPr="00CE4B53">
        <w:rPr>
          <w:rFonts w:ascii="e-Ukraine" w:hAnsi="e-Ukraine" w:cs="Arial"/>
          <w:sz w:val="24"/>
          <w:szCs w:val="24"/>
          <w:lang w:eastAsia="uk-UA"/>
        </w:rPr>
        <w:t xml:space="preserve">. 170.10.4 п. 170.10 ст.170 ПКУ); </w:t>
      </w:r>
    </w:p>
    <w:p w:rsidR="001D4163" w:rsidRPr="00CE4B53" w:rsidRDefault="001D4163" w:rsidP="001D4163">
      <w:pPr>
        <w:spacing w:after="0" w:line="240" w:lineRule="auto"/>
        <w:ind w:firstLine="680"/>
        <w:jc w:val="both"/>
        <w:rPr>
          <w:rFonts w:ascii="e-Ukraine" w:hAnsi="e-Ukraine" w:cs="Arial"/>
          <w:sz w:val="24"/>
          <w:szCs w:val="24"/>
          <w:lang w:eastAsia="uk-UA"/>
        </w:rPr>
      </w:pPr>
      <w:r w:rsidRPr="00CE4B53">
        <w:rPr>
          <w:rFonts w:ascii="e-Ukraine" w:hAnsi="e-Ukraine" w:cs="Arial"/>
          <w:sz w:val="24"/>
          <w:szCs w:val="24"/>
          <w:lang w:eastAsia="uk-UA"/>
        </w:rPr>
        <w:t xml:space="preserve">- платники податку – резиденти, які виїжджають за кордон на постійне місце проживання, не пізніше 60 календарних днів, що передують виїзду                        (п. 179.3 ст. 179 ПКУ). </w:t>
      </w:r>
    </w:p>
    <w:p w:rsidR="001D4163" w:rsidRPr="00CE4B53" w:rsidRDefault="001D4163" w:rsidP="001D4163">
      <w:pPr>
        <w:spacing w:after="0" w:line="240" w:lineRule="auto"/>
        <w:ind w:firstLine="680"/>
        <w:jc w:val="both"/>
        <w:rPr>
          <w:rFonts w:ascii="e-Ukraine" w:hAnsi="e-Ukraine" w:cs="Arial"/>
          <w:sz w:val="32"/>
          <w:szCs w:val="32"/>
          <w:lang w:eastAsia="uk-UA"/>
        </w:rPr>
      </w:pPr>
      <w:r w:rsidRPr="00CE4B53">
        <w:rPr>
          <w:rFonts w:ascii="e-Ukraine" w:hAnsi="e-Ukraine" w:cs="Arial"/>
          <w:sz w:val="24"/>
          <w:szCs w:val="24"/>
          <w:lang w:eastAsia="uk-UA"/>
        </w:rPr>
        <w:t xml:space="preserve">У громадян є також право подати з 01 січня по 31 грудня включно 2025 року Декларацію та відповідні підтверджувальні документи на отримання податкової знижки за витратами, понесеними у 2024 році і які відповідно до п. 166.3 ст. 166 ПКУ дозволені для включення до податкової знижки.  </w:t>
      </w:r>
    </w:p>
    <w:p w:rsidR="00A02F5F" w:rsidRPr="00CE4B53" w:rsidRDefault="00A02F5F" w:rsidP="001D4163">
      <w:pPr>
        <w:spacing w:after="0" w:line="240" w:lineRule="auto"/>
        <w:ind w:firstLine="680"/>
        <w:jc w:val="both"/>
        <w:rPr>
          <w:rFonts w:ascii="e-Ukraine" w:hAnsi="e-Ukraine" w:cs="Arial"/>
          <w:sz w:val="32"/>
          <w:szCs w:val="32"/>
          <w:lang w:eastAsia="uk-UA"/>
        </w:rPr>
      </w:pPr>
    </w:p>
    <w:p w:rsidR="001D4163" w:rsidRPr="001D4163" w:rsidRDefault="001D4163" w:rsidP="001D4163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257FFB" w:rsidRPr="00B67529" w:rsidRDefault="00A966A9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A966A9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5.75pt;width:500pt;height:59.85pt;z-index:251660800;visibility:visible" fillcolor="#0070c0" stroked="f" strokeweight=".5pt">
            <v:textbox style="mso-next-textbox:#Поле 10">
              <w:txbxContent>
                <w:p w:rsidR="007563A3" w:rsidRPr="00CE4B53" w:rsidRDefault="007563A3" w:rsidP="00CE4B53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CE4B53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Офіційний </w:t>
                  </w:r>
                  <w:proofErr w:type="spellStart"/>
                  <w:r w:rsidRPr="00CE4B53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вебпортал</w:t>
                  </w:r>
                  <w:proofErr w:type="spellEnd"/>
                  <w:r w:rsidRPr="00CE4B53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Державної податкової служби України: </w:t>
                  </w:r>
                  <w:proofErr w:type="spellStart"/>
                  <w:r w:rsidRPr="00CE4B53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tax.gov.ua</w:t>
                  </w:r>
                  <w:proofErr w:type="spellEnd"/>
                  <w:r w:rsidRPr="00CE4B53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.</w:t>
                  </w:r>
                </w:p>
                <w:p w:rsidR="007563A3" w:rsidRPr="00CE4B53" w:rsidRDefault="007563A3" w:rsidP="00CE4B53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CE4B53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Інформаційно-довідковий департамент  ДПС України: 0-800-501-007 .</w:t>
                  </w:r>
                </w:p>
                <w:p w:rsidR="007563A3" w:rsidRPr="00CE4B53" w:rsidRDefault="007563A3" w:rsidP="00CE4B53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CE4B53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"Гаряча лінія" ДПС України: "Пульс": 0-800-501-007  (напрямок  «4»)</w:t>
                  </w:r>
                </w:p>
                <w:p w:rsidR="007563A3" w:rsidRPr="00CE4B53" w:rsidRDefault="007563A3" w:rsidP="00CE4B53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CE4B53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Кваліфікований надавач електронних довірчих послуг: 0-800-501-007 (напрямок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Bold">
    <w:altName w:val="Courier Ne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9B0238D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AC63BE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1D240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19202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16673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EFE12BD"/>
    <w:multiLevelType w:val="hybridMultilevel"/>
    <w:tmpl w:val="FFFFFFFF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E84F6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791000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5168A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6B754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3692"/>
    <w:rsid w:val="00054B6E"/>
    <w:rsid w:val="0005556E"/>
    <w:rsid w:val="0006402D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C9"/>
    <w:rsid w:val="000F50B8"/>
    <w:rsid w:val="000F5C64"/>
    <w:rsid w:val="000F5D25"/>
    <w:rsid w:val="000F7155"/>
    <w:rsid w:val="000F7ECE"/>
    <w:rsid w:val="00101E63"/>
    <w:rsid w:val="0010250E"/>
    <w:rsid w:val="001059A4"/>
    <w:rsid w:val="00116DCD"/>
    <w:rsid w:val="00116EA8"/>
    <w:rsid w:val="0012049C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A13"/>
    <w:rsid w:val="00193CA4"/>
    <w:rsid w:val="001A2CAD"/>
    <w:rsid w:val="001A503D"/>
    <w:rsid w:val="001B14AB"/>
    <w:rsid w:val="001C0210"/>
    <w:rsid w:val="001D05BE"/>
    <w:rsid w:val="001D3E82"/>
    <w:rsid w:val="001D4163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0829"/>
    <w:rsid w:val="002318FC"/>
    <w:rsid w:val="002322BF"/>
    <w:rsid w:val="002323BD"/>
    <w:rsid w:val="002331EF"/>
    <w:rsid w:val="00233C61"/>
    <w:rsid w:val="00240078"/>
    <w:rsid w:val="00243CB5"/>
    <w:rsid w:val="002448A0"/>
    <w:rsid w:val="0024520A"/>
    <w:rsid w:val="00246A03"/>
    <w:rsid w:val="0025231C"/>
    <w:rsid w:val="00257FFB"/>
    <w:rsid w:val="00260EE4"/>
    <w:rsid w:val="00264EBF"/>
    <w:rsid w:val="002661CB"/>
    <w:rsid w:val="00266786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2470"/>
    <w:rsid w:val="002C2CB6"/>
    <w:rsid w:val="002C3EEC"/>
    <w:rsid w:val="002D2F5D"/>
    <w:rsid w:val="002D3FCB"/>
    <w:rsid w:val="002E1A5E"/>
    <w:rsid w:val="002E1AE7"/>
    <w:rsid w:val="002E68AA"/>
    <w:rsid w:val="002F1758"/>
    <w:rsid w:val="002F46C0"/>
    <w:rsid w:val="0030097A"/>
    <w:rsid w:val="003018C8"/>
    <w:rsid w:val="0030417D"/>
    <w:rsid w:val="00305DC5"/>
    <w:rsid w:val="0030621C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3FEF"/>
    <w:rsid w:val="004461E7"/>
    <w:rsid w:val="00453B74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B7E58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542E0"/>
    <w:rsid w:val="00663E8D"/>
    <w:rsid w:val="00665736"/>
    <w:rsid w:val="00666698"/>
    <w:rsid w:val="006670E2"/>
    <w:rsid w:val="00667148"/>
    <w:rsid w:val="006674AC"/>
    <w:rsid w:val="00673242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0CC5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51AF"/>
    <w:rsid w:val="00765D16"/>
    <w:rsid w:val="007672CB"/>
    <w:rsid w:val="00770ACC"/>
    <w:rsid w:val="00773C5F"/>
    <w:rsid w:val="00780B54"/>
    <w:rsid w:val="00781CE0"/>
    <w:rsid w:val="007828D0"/>
    <w:rsid w:val="007852EE"/>
    <w:rsid w:val="0079178E"/>
    <w:rsid w:val="00793093"/>
    <w:rsid w:val="007962A8"/>
    <w:rsid w:val="007A3357"/>
    <w:rsid w:val="007A44DC"/>
    <w:rsid w:val="007B4004"/>
    <w:rsid w:val="007C422B"/>
    <w:rsid w:val="007C676C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07E9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0ECD"/>
    <w:rsid w:val="00884D91"/>
    <w:rsid w:val="008941E8"/>
    <w:rsid w:val="008948DE"/>
    <w:rsid w:val="00896911"/>
    <w:rsid w:val="008A4D39"/>
    <w:rsid w:val="008A5695"/>
    <w:rsid w:val="008A71E9"/>
    <w:rsid w:val="008B2D46"/>
    <w:rsid w:val="008B5B16"/>
    <w:rsid w:val="008B68B2"/>
    <w:rsid w:val="008C2A84"/>
    <w:rsid w:val="008C3D56"/>
    <w:rsid w:val="008C59ED"/>
    <w:rsid w:val="008C611F"/>
    <w:rsid w:val="008D2236"/>
    <w:rsid w:val="008D6FD7"/>
    <w:rsid w:val="008E573A"/>
    <w:rsid w:val="008E6040"/>
    <w:rsid w:val="008F0963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56B0"/>
    <w:rsid w:val="00977E79"/>
    <w:rsid w:val="00980FEB"/>
    <w:rsid w:val="00981C85"/>
    <w:rsid w:val="00983F4F"/>
    <w:rsid w:val="00984BFA"/>
    <w:rsid w:val="00987ED3"/>
    <w:rsid w:val="00990412"/>
    <w:rsid w:val="00992A5A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2F5F"/>
    <w:rsid w:val="00A05079"/>
    <w:rsid w:val="00A11EE6"/>
    <w:rsid w:val="00A137C9"/>
    <w:rsid w:val="00A14327"/>
    <w:rsid w:val="00A146D0"/>
    <w:rsid w:val="00A15062"/>
    <w:rsid w:val="00A15922"/>
    <w:rsid w:val="00A15D97"/>
    <w:rsid w:val="00A2371B"/>
    <w:rsid w:val="00A24D92"/>
    <w:rsid w:val="00A2566F"/>
    <w:rsid w:val="00A301D9"/>
    <w:rsid w:val="00A329C5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728F"/>
    <w:rsid w:val="00A774C1"/>
    <w:rsid w:val="00A80202"/>
    <w:rsid w:val="00A82947"/>
    <w:rsid w:val="00A82952"/>
    <w:rsid w:val="00A86AED"/>
    <w:rsid w:val="00A87CF9"/>
    <w:rsid w:val="00A91435"/>
    <w:rsid w:val="00A91730"/>
    <w:rsid w:val="00A9173B"/>
    <w:rsid w:val="00A9219D"/>
    <w:rsid w:val="00A92FC1"/>
    <w:rsid w:val="00A966A9"/>
    <w:rsid w:val="00AA1F81"/>
    <w:rsid w:val="00AA4DFF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296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67C45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1E0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A86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01A6"/>
    <w:rsid w:val="00C5226F"/>
    <w:rsid w:val="00C53521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86C54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3829"/>
    <w:rsid w:val="00CD4F13"/>
    <w:rsid w:val="00CD50B9"/>
    <w:rsid w:val="00CD7C7B"/>
    <w:rsid w:val="00CE050F"/>
    <w:rsid w:val="00CE0773"/>
    <w:rsid w:val="00CE4B5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35DA"/>
    <w:rsid w:val="00D551E1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33A7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5C1F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030E"/>
    <w:rsid w:val="00EB23B4"/>
    <w:rsid w:val="00EB37AE"/>
    <w:rsid w:val="00EB5998"/>
    <w:rsid w:val="00EC4810"/>
    <w:rsid w:val="00EC6BE4"/>
    <w:rsid w:val="00ED20CE"/>
    <w:rsid w:val="00ED34A3"/>
    <w:rsid w:val="00EE0686"/>
    <w:rsid w:val="00EE1277"/>
    <w:rsid w:val="00EE2113"/>
    <w:rsid w:val="00EE4B92"/>
    <w:rsid w:val="00EE5226"/>
    <w:rsid w:val="00EF5B29"/>
    <w:rsid w:val="00EF714A"/>
    <w:rsid w:val="00F0137F"/>
    <w:rsid w:val="00F016E4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35831"/>
    <w:rsid w:val="00F4229E"/>
    <w:rsid w:val="00F457B5"/>
    <w:rsid w:val="00F45886"/>
    <w:rsid w:val="00F45B3D"/>
    <w:rsid w:val="00F465CF"/>
    <w:rsid w:val="00F52B42"/>
    <w:rsid w:val="00F55B6F"/>
    <w:rsid w:val="00F60A25"/>
    <w:rsid w:val="00F61736"/>
    <w:rsid w:val="00F6372B"/>
    <w:rsid w:val="00F71DB1"/>
    <w:rsid w:val="00F73642"/>
    <w:rsid w:val="00F80C9F"/>
    <w:rsid w:val="00F81813"/>
    <w:rsid w:val="00F903EC"/>
    <w:rsid w:val="00F90BFC"/>
    <w:rsid w:val="00F92BFE"/>
    <w:rsid w:val="00F952E2"/>
    <w:rsid w:val="00FA1BE8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Hyperlink" w:locked="1"/>
    <w:lsdException w:name="Strong" w:locked="1" w:uiPriority="22" w:qFormat="1"/>
    <w:lsdException w:name="Emphasis" w:locked="1" w:uiPriority="0" w:qFormat="1"/>
    <w:lsdException w:name="Normal (Web)" w:semiHidden="1" w:unhideWhenUsed="1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86C54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86C54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,Знак1 Знак Знак"/>
    <w:basedOn w:val="a"/>
    <w:link w:val="a4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6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7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8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86C54"/>
    <w:rPr>
      <w:rFonts w:ascii="Tahoma" w:hAnsi="Tahoma" w:cs="Tahoma"/>
      <w:sz w:val="16"/>
      <w:szCs w:val="16"/>
      <w:lang w:eastAsia="en-US"/>
    </w:rPr>
  </w:style>
  <w:style w:type="paragraph" w:customStyle="1" w:styleId="11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b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c">
    <w:name w:val="Нормальний текст"/>
    <w:basedOn w:val="a"/>
    <w:link w:val="ad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d">
    <w:name w:val="Нормальний текст Знак"/>
    <w:link w:val="ac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4">
    <w:name w:val="Обычный (веб) Знак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e">
    <w:name w:val="List Paragraph"/>
    <w:basedOn w:val="a"/>
    <w:uiPriority w:val="99"/>
    <w:qFormat/>
    <w:rsid w:val="005F6D14"/>
    <w:pPr>
      <w:ind w:left="720"/>
    </w:pPr>
  </w:style>
  <w:style w:type="paragraph" w:customStyle="1" w:styleId="af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0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F94477-D4DE-4FB9-AE79-3C0BE094E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d36603</cp:lastModifiedBy>
  <cp:revision>7</cp:revision>
  <cp:lastPrinted>2020-08-10T07:25:00Z</cp:lastPrinted>
  <dcterms:created xsi:type="dcterms:W3CDTF">2025-11-21T12:01:00Z</dcterms:created>
  <dcterms:modified xsi:type="dcterms:W3CDTF">2025-12-22T12:27:00Z</dcterms:modified>
</cp:coreProperties>
</file>