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EF3A2D">
      <w:pPr>
        <w:rPr>
          <w:rFonts w:ascii="e-Ukraine" w:hAnsi="e-Ukraine" w:cs="e-Ukraine"/>
        </w:rPr>
      </w:pPr>
      <w:r w:rsidRPr="00EF3A2D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EF3A2D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EF3A2D">
      <w:pPr>
        <w:rPr>
          <w:rFonts w:ascii="e-Ukraine" w:hAnsi="e-Ukraine" w:cs="e-Ukraine"/>
        </w:rPr>
      </w:pPr>
      <w:r w:rsidRPr="00EF3A2D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515D6F">
      <w:pPr>
        <w:rPr>
          <w:rFonts w:ascii="e-Ukraine" w:hAnsi="e-Ukraine" w:cs="e-Ukraine"/>
        </w:rPr>
      </w:pPr>
      <w:r w:rsidRPr="00EF3A2D">
        <w:rPr>
          <w:noProof/>
          <w:lang w:val="ru-RU" w:eastAsia="ru-RU"/>
        </w:rPr>
        <w:pict>
          <v:shape id="Поле 8" o:spid="_x0000_s1029" type="#_x0000_t202" style="position:absolute;margin-left:-9.8pt;margin-top:2.65pt;width:263.25pt;height:55pt;z-index:251657728;visibility:visible;v-text-anchor:middle" filled="f" stroked="f" strokeweight=".5pt">
            <v:textbox style="mso-next-textbox:#Поле 8">
              <w:txbxContent>
                <w:p w:rsidR="00515D6F" w:rsidRPr="00515D6F" w:rsidRDefault="00515D6F" w:rsidP="00515D6F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</w:pPr>
                  <w:proofErr w:type="spellStart"/>
                  <w:r w:rsidRPr="00515D6F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Принципи</w:t>
                  </w:r>
                  <w:proofErr w:type="spellEnd"/>
                  <w:r w:rsidRPr="00515D6F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515D6F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Національної</w:t>
                  </w:r>
                  <w:proofErr w:type="spellEnd"/>
                  <w:r w:rsidRPr="00515D6F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515D6F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стратегії</w:t>
                  </w:r>
                  <w:proofErr w:type="spellEnd"/>
                  <w:r w:rsidRPr="00515D6F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515D6F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доході</w:t>
                  </w:r>
                  <w:proofErr w:type="gramStart"/>
                  <w:r w:rsidRPr="00515D6F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в</w:t>
                  </w:r>
                  <w:proofErr w:type="spellEnd"/>
                  <w:proofErr w:type="gramEnd"/>
                  <w:r w:rsidRPr="00515D6F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до 2030 року</w:t>
                  </w:r>
                </w:p>
                <w:p w:rsidR="000F5D25" w:rsidRPr="00515D6F" w:rsidRDefault="000F5D25" w:rsidP="000F5D25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</w:rPr>
                  </w:pPr>
                </w:p>
                <w:p w:rsidR="00B9473A" w:rsidRPr="000F5D25" w:rsidRDefault="00B9473A" w:rsidP="000F5D25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15D6F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EF3A2D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12.55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CD3829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жовт</w:t>
                  </w:r>
                  <w:r w:rsidR="007C676C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е</w:t>
                  </w:r>
                  <w:r w:rsidR="0025231C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90658F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5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A458D3" w:rsidRDefault="00A458D3" w:rsidP="00515D6F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Pr="000F5D25" w:rsidRDefault="00260EE4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515D6F" w:rsidRPr="00515D6F" w:rsidRDefault="00B23C1D" w:rsidP="00515D6F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515D6F">
        <w:rPr>
          <w:rFonts w:ascii="Arial" w:hAnsi="Arial" w:cs="Arial"/>
          <w:noProof/>
          <w:color w:val="000000"/>
          <w:sz w:val="24"/>
          <w:szCs w:val="24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515D6F">
        <w:rPr>
          <w:rFonts w:ascii="Arial" w:hAnsi="Arial" w:cs="Arial"/>
          <w:noProof/>
          <w:color w:val="000000"/>
          <w:sz w:val="24"/>
          <w:szCs w:val="24"/>
        </w:rPr>
        <w:t>ння – Нікопольський рай</w:t>
      </w:r>
      <w:r w:rsidRPr="00515D6F">
        <w:rPr>
          <w:rFonts w:ascii="Arial" w:hAnsi="Arial" w:cs="Arial"/>
          <w:noProof/>
          <w:color w:val="000000"/>
          <w:sz w:val="24"/>
          <w:szCs w:val="24"/>
        </w:rPr>
        <w:t>он</w:t>
      </w:r>
      <w:r w:rsidR="009A3C86" w:rsidRPr="00515D6F">
        <w:rPr>
          <w:rFonts w:ascii="Arial" w:hAnsi="Arial" w:cs="Arial"/>
          <w:noProof/>
          <w:color w:val="000000"/>
          <w:sz w:val="24"/>
          <w:szCs w:val="24"/>
        </w:rPr>
        <w:t>)</w:t>
      </w:r>
      <w:r w:rsidR="00E4784B" w:rsidRPr="00515D6F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="00515D6F" w:rsidRPr="00515D6F">
        <w:rPr>
          <w:rFonts w:ascii="Arial" w:hAnsi="Arial" w:cs="Arial"/>
          <w:sz w:val="24"/>
          <w:szCs w:val="24"/>
          <w:lang w:eastAsia="ru-RU"/>
        </w:rPr>
        <w:t xml:space="preserve">звертає увагу на таке.  </w:t>
      </w:r>
    </w:p>
    <w:p w:rsidR="00515D6F" w:rsidRPr="00515D6F" w:rsidRDefault="00515D6F" w:rsidP="00515D6F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515D6F">
        <w:rPr>
          <w:rFonts w:ascii="Arial" w:hAnsi="Arial" w:cs="Arial"/>
          <w:sz w:val="24"/>
          <w:szCs w:val="24"/>
          <w:lang w:eastAsia="ru-RU"/>
        </w:rPr>
        <w:t xml:space="preserve">Заходи реформування податкової системи та податкового адміністрування, викладені в Національній стратегії доходів до 2030 року ґрунтуються на принципах: </w:t>
      </w:r>
    </w:p>
    <w:p w:rsidR="00515D6F" w:rsidRPr="00515D6F" w:rsidRDefault="00515D6F" w:rsidP="00515D6F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515D6F">
        <w:rPr>
          <w:rFonts w:ascii="Arial" w:hAnsi="Arial" w:cs="Arial"/>
          <w:sz w:val="24"/>
          <w:szCs w:val="24"/>
          <w:lang w:eastAsia="ru-RU"/>
        </w:rPr>
        <w:t xml:space="preserve">► Стабільності: Збереження поточної бази оподаткування доходів юридичних та фізичних осіб, забезпечення її цілісності є умовою від якої напряму залежить стабільність доходів України в довгостроковій перспективі. Комбінація заходів щодо забезпечення надходження доходів та диверсифікації їх структури повинна сприяти стабільності, визначеності та достатності надходжень для цілей бюджету.  </w:t>
      </w:r>
    </w:p>
    <w:p w:rsidR="00515D6F" w:rsidRPr="00515D6F" w:rsidRDefault="00515D6F" w:rsidP="00515D6F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515D6F">
        <w:rPr>
          <w:rFonts w:ascii="Arial" w:hAnsi="Arial" w:cs="Arial"/>
          <w:sz w:val="24"/>
          <w:szCs w:val="24"/>
          <w:lang w:eastAsia="ru-RU"/>
        </w:rPr>
        <w:t xml:space="preserve">► Нейтральності: Політика та адміністрування повинні сприяти досягненню рівності та справедливості оподаткування у спосіб, який не впливає на збільшення або зменшення конкурентоздатності платників податків. Політика повинна реагувати на внутрішні та глобальні економічні виклики і конкуренцію, яка породжується </w:t>
      </w:r>
      <w:proofErr w:type="spellStart"/>
      <w:r w:rsidRPr="00515D6F">
        <w:rPr>
          <w:rFonts w:ascii="Arial" w:hAnsi="Arial" w:cs="Arial"/>
          <w:sz w:val="24"/>
          <w:szCs w:val="24"/>
          <w:lang w:eastAsia="ru-RU"/>
        </w:rPr>
        <w:t>тінізацією</w:t>
      </w:r>
      <w:proofErr w:type="spellEnd"/>
      <w:r w:rsidRPr="00515D6F">
        <w:rPr>
          <w:rFonts w:ascii="Arial" w:hAnsi="Arial" w:cs="Arial"/>
          <w:sz w:val="24"/>
          <w:szCs w:val="24"/>
          <w:lang w:eastAsia="ru-RU"/>
        </w:rPr>
        <w:t xml:space="preserve"> економіки.  </w:t>
      </w:r>
    </w:p>
    <w:p w:rsidR="00515D6F" w:rsidRPr="00515D6F" w:rsidRDefault="00515D6F" w:rsidP="00515D6F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515D6F">
        <w:rPr>
          <w:rFonts w:ascii="Arial" w:hAnsi="Arial" w:cs="Arial"/>
          <w:sz w:val="24"/>
          <w:szCs w:val="24"/>
          <w:lang w:eastAsia="ru-RU"/>
        </w:rPr>
        <w:t xml:space="preserve">► Справедливості: Політика повинна бути спрямована на мінімізацію регресивності та сприяння горизонтальної та вертикальної справедливості платниками податків. Важливим є досягнення принципу справедливості через використання розподільної ролі податків, враховуючи фіскальну спроможність платників податків. Критичним є недопущення запровадження економічно необґрунтованих пільг та преференцій, які не передбачають забезпечення соціальної справедливості або економічного зростання.  </w:t>
      </w:r>
    </w:p>
    <w:p w:rsidR="00515D6F" w:rsidRPr="00515D6F" w:rsidRDefault="00515D6F" w:rsidP="00515D6F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515D6F">
        <w:rPr>
          <w:rFonts w:ascii="Arial" w:hAnsi="Arial" w:cs="Arial"/>
          <w:sz w:val="24"/>
          <w:szCs w:val="24"/>
          <w:lang w:eastAsia="ru-RU"/>
        </w:rPr>
        <w:t xml:space="preserve">► Доброчесності: Політика повинна бути спрямована на забезпечення дотримання контролюючими органами принципу доброчесності, посилення антикорупційних заходів та підвищення довіри до податкових та митних органів з боку суспільства. Безумовним пріоритетом є забезпечення конфіденційності та захисту даних в системах контролюючих органів.  </w:t>
      </w:r>
    </w:p>
    <w:p w:rsidR="00515D6F" w:rsidRPr="00515D6F" w:rsidRDefault="00515D6F" w:rsidP="00515D6F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515D6F">
        <w:rPr>
          <w:rFonts w:ascii="Arial" w:hAnsi="Arial" w:cs="Arial"/>
          <w:sz w:val="24"/>
          <w:szCs w:val="24"/>
          <w:lang w:eastAsia="ru-RU"/>
        </w:rPr>
        <w:t xml:space="preserve">► Інтегрованості: Максимальне наближення політики і адміністрування до вимог міжнародних стандартів та забезпечення виконання зобов’язань, що випливають із членства України у міжнародних організаціях є запорукою тісної інтеграції України у світову економіку.  </w:t>
      </w:r>
    </w:p>
    <w:p w:rsidR="00515D6F" w:rsidRPr="00515D6F" w:rsidRDefault="00515D6F" w:rsidP="00515D6F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515D6F">
        <w:rPr>
          <w:rFonts w:ascii="Arial" w:hAnsi="Arial" w:cs="Arial"/>
          <w:sz w:val="24"/>
          <w:szCs w:val="24"/>
          <w:lang w:eastAsia="ru-RU"/>
        </w:rPr>
        <w:t xml:space="preserve">► Ефективності: При розробці політики слід враховувати спроможність органів влади щодо забезпечення збирання надходжень та адміністрування доходів. Це має досягатися шляхом вдосконаленням управління процесами адміністрування, їх </w:t>
      </w:r>
      <w:proofErr w:type="spellStart"/>
      <w:r w:rsidRPr="00515D6F">
        <w:rPr>
          <w:rFonts w:ascii="Arial" w:hAnsi="Arial" w:cs="Arial"/>
          <w:sz w:val="24"/>
          <w:szCs w:val="24"/>
          <w:lang w:eastAsia="ru-RU"/>
        </w:rPr>
        <w:t>цифровізацією</w:t>
      </w:r>
      <w:proofErr w:type="spellEnd"/>
      <w:r w:rsidRPr="00515D6F">
        <w:rPr>
          <w:rFonts w:ascii="Arial" w:hAnsi="Arial" w:cs="Arial"/>
          <w:sz w:val="24"/>
          <w:szCs w:val="24"/>
          <w:lang w:eastAsia="ru-RU"/>
        </w:rPr>
        <w:t xml:space="preserve">, підвищенням якості використання даних контролюючими органами. </w:t>
      </w:r>
    </w:p>
    <w:p w:rsidR="00515D6F" w:rsidRPr="00515D6F" w:rsidRDefault="00515D6F" w:rsidP="00515D6F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515D6F">
        <w:rPr>
          <w:rFonts w:ascii="Arial" w:hAnsi="Arial" w:cs="Arial"/>
          <w:sz w:val="24"/>
          <w:szCs w:val="24"/>
          <w:lang w:eastAsia="ru-RU"/>
        </w:rPr>
        <w:t xml:space="preserve">► Розвитку: Політика та стратегії повинні забезпечувати підтримку відбудови, післявоєнної реконструкції та відновлення економіки України, стимулювання розвитку її виробничого та експортного потенціалу. Політика має передбачати запровадження необхідних інструментів для підтримки інвестицій з урахуванням тих, які використовуються в країнах ЄС. </w:t>
      </w: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EF3A2D" w:rsidRPr="00EF3A2D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5D6F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4728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738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3A2D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E673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E673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E6738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DEFB5-9918-4D5A-A346-233343581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2676</Characters>
  <Application>Microsoft Office Word</Application>
  <DocSecurity>0</DocSecurity>
  <Lines>22</Lines>
  <Paragraphs>5</Paragraphs>
  <ScaleCrop>false</ScaleCrop>
  <Company>SPecialiST RePack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user</cp:lastModifiedBy>
  <cp:revision>2</cp:revision>
  <cp:lastPrinted>2020-08-10T07:25:00Z</cp:lastPrinted>
  <dcterms:created xsi:type="dcterms:W3CDTF">2025-10-21T08:31:00Z</dcterms:created>
  <dcterms:modified xsi:type="dcterms:W3CDTF">2025-10-21T08:31:00Z</dcterms:modified>
</cp:coreProperties>
</file>