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21" w:rsidRPr="00F90590" w:rsidRDefault="002C1A21" w:rsidP="002C1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-12728</wp:posOffset>
            </wp:positionH>
            <wp:positionV relativeFrom="paragraph">
              <wp:posOffset>41825</wp:posOffset>
            </wp:positionV>
            <wp:extent cx="1739859" cy="89692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59" cy="89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A21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 xml:space="preserve">Головне управління ДПС </w:t>
      </w:r>
    </w:p>
    <w:p w:rsidR="00D025FD" w:rsidRPr="00F90590" w:rsidRDefault="002C1A21" w:rsidP="002C1A21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  <w:t>у Дніпропетровській області</w:t>
      </w:r>
    </w:p>
    <w:p w:rsidR="002C1A21" w:rsidRPr="00F90590" w:rsidRDefault="002C1A21" w:rsidP="00D025FD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</w:pPr>
    </w:p>
    <w:p w:rsidR="00F90590" w:rsidRDefault="00F90590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</w:p>
    <w:p w:rsidR="00BD1D7A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Питання, які найчастіше порушуються запитувачами </w:t>
      </w:r>
    </w:p>
    <w:p w:rsidR="002C1A21" w:rsidRPr="00F90590" w:rsidRDefault="00D025FD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у запитах на отримання публічної інформації</w:t>
      </w:r>
    </w:p>
    <w:p w:rsidR="002C1A21" w:rsidRPr="00F90590" w:rsidRDefault="002C1A21" w:rsidP="002C1A21">
      <w:pPr>
        <w:pBdr>
          <w:top w:val="single" w:sz="12" w:space="10" w:color="DDE6EE"/>
          <w:bottom w:val="single" w:sz="6" w:space="10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за січень</w:t>
      </w:r>
      <w:r w:rsidR="00225B87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-</w:t>
      </w:r>
      <w:r w:rsidR="00225B87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лютий</w:t>
      </w:r>
      <w:r w:rsidR="00635A1F"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202</w:t>
      </w:r>
      <w:r w:rsidR="00265104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>5</w:t>
      </w:r>
      <w:r w:rsidRPr="00F90590"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року</w:t>
      </w:r>
    </w:p>
    <w:p w:rsidR="0059207A" w:rsidRPr="00F90590" w:rsidRDefault="0059207A" w:rsidP="001819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65104" w:rsidRPr="00265104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яких умов ЮО та </w:t>
      </w:r>
      <w:proofErr w:type="spellStart"/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>ФОП</w:t>
      </w:r>
      <w:proofErr w:type="spellEnd"/>
      <w:r w:rsidR="00265104" w:rsidRPr="002651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включаються до Переліку платників податків з високим рівнем добровільного дотримання податкового законодавства (далі – Перелік) та як їх буде повідомлено про включення/виключення до/з Переліку?</w:t>
      </w:r>
    </w:p>
    <w:p w:rsidR="00265104" w:rsidRPr="00265104" w:rsidRDefault="00265104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Включаються за умови відповідності всім вимогам, визначеним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69.41.1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 п. 69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підрозд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XX «Перехідні положення» Податкового кодексу України (далі – ПКУ), та критеріям, визначеним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69.41.2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69.41 п. 69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підрозд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 xml:space="preserve">. 10 </w:t>
      </w:r>
      <w:proofErr w:type="spellStart"/>
      <w:r w:rsidRPr="00265104">
        <w:rPr>
          <w:rFonts w:ascii="Times New Roman" w:hAnsi="Times New Roman" w:cs="Times New Roman"/>
          <w:sz w:val="24"/>
          <w:szCs w:val="24"/>
          <w:lang w:val="uk-UA"/>
        </w:rPr>
        <w:t>розд</w:t>
      </w:r>
      <w:proofErr w:type="spellEnd"/>
      <w:r w:rsidRPr="00265104">
        <w:rPr>
          <w:rFonts w:ascii="Times New Roman" w:hAnsi="Times New Roman" w:cs="Times New Roman"/>
          <w:sz w:val="24"/>
          <w:szCs w:val="24"/>
          <w:lang w:val="uk-UA"/>
        </w:rPr>
        <w:t>. XX «Перехідні положення» ПКУ, залежно від обраної системи оподаткування.</w:t>
      </w:r>
    </w:p>
    <w:p w:rsidR="00265104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265104">
        <w:rPr>
          <w:rFonts w:ascii="Times New Roman" w:hAnsi="Times New Roman" w:cs="Times New Roman"/>
          <w:sz w:val="24"/>
          <w:szCs w:val="24"/>
          <w:lang w:val="uk-UA"/>
        </w:rPr>
        <w:t>Центральний орган виконавчої влади, що реалізує державну податкову політику, повідомляє платника податків про включення/виключення його до/з Переліку платників податків з високим рівнем добровільного дотримання податкового законодавства шляхом надсилання через електронний кабінет такого платника податків інформаційного повідомлення.</w:t>
      </w:r>
      <w:r w:rsidRPr="00265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</w:t>
      </w:r>
    </w:p>
    <w:p w:rsidR="00265104" w:rsidRPr="00F90590" w:rsidRDefault="00265104" w:rsidP="0026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Джерело інформації - «Загальнодоступний інформаційно-довідковий ресурс» </w:t>
      </w:r>
      <w:proofErr w:type="spellStart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посиланням:  </w:t>
      </w:r>
    </w:p>
    <w:p w:rsidR="00265104" w:rsidRPr="00265104" w:rsidRDefault="00265104" w:rsidP="00265104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26510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https://zir.tax.gov.ua/main/bz/view/?src=ques&amp;id=42163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F1320B">
        <w:rPr>
          <w:rFonts w:ascii="Times New Roman" w:hAnsi="Times New Roman" w:cs="Times New Roman"/>
          <w:b/>
          <w:sz w:val="24"/>
          <w:szCs w:val="24"/>
          <w:lang w:val="uk-UA"/>
        </w:rPr>
        <w:t>Чи можуть контролюючі органи надавати третім особам інформацію стосовно СГ та ФО (у т. ч. як «публічну інформацію»)?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Контролюючі органи згідно з чинним законодавством можуть надавати інформацію про платників податків третім особам лише у межах та у спосіб, передбачений законами України «Про інформацію», «Про доступ до публічної інформації», «Про захист персональних даних», а також Податковим кодексом України (далі – ПКУ).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Згідно з нормами ПКУ посадові особи контролюючих органів зобов’язані не допускати розголошення інформації з обмеженим доступом, що одержується, використовується, зберігається під час реалізації функцій, покладених на контролюючі органи.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Не вважається розголошенням інформації з обмеженим доступом та/або поширенням персональних даних без згоди суб’єкта персональних даних надання контролюючим органом за запитом органу місцевого самоврядування звітності у розрізі платників податків протягом 20 днів з моменту отримання ним запиту.</w:t>
      </w:r>
    </w:p>
    <w:p w:rsidR="00F1320B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Розпорядники інформації, які володіють інформацією про особу, зобов’язані надавати її безперешкодно і безкоштовно на вимогу осіб, яких вона стосується, крім випадків, передбачених законом.</w:t>
      </w:r>
    </w:p>
    <w:p w:rsidR="00922AF0" w:rsidRDefault="00F1320B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20B">
        <w:rPr>
          <w:rFonts w:ascii="Times New Roman" w:hAnsi="Times New Roman" w:cs="Times New Roman"/>
          <w:sz w:val="24"/>
          <w:szCs w:val="24"/>
          <w:lang w:val="uk-UA"/>
        </w:rPr>
        <w:t>Згідно з Законом України «Про інформацію» інформацією з обмеженим доступом є конфіденційна, таємна та службова інформація.</w:t>
      </w:r>
    </w:p>
    <w:p w:rsidR="00A24E76" w:rsidRPr="00F90590" w:rsidRDefault="00A24E76" w:rsidP="00A24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Більш докладну відповідь можна отримати за д</w:t>
      </w: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жерело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м</w:t>
      </w: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інформації - «Загальнодоступний інформаційно-довідковий ресурс» </w:t>
      </w:r>
      <w:proofErr w:type="spellStart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посиланням:  </w:t>
      </w:r>
    </w:p>
    <w:p w:rsidR="00A24E76" w:rsidRDefault="002B77F2" w:rsidP="00A24E76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hyperlink r:id="rId9" w:history="1">
        <w:r w:rsidRPr="00822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https://zir.tax.gov.ua/main/bz/view/?src=ques&amp;id=39755</w:t>
        </w:r>
      </w:hyperlink>
    </w:p>
    <w:p w:rsidR="002B77F2" w:rsidRDefault="002B77F2" w:rsidP="002B77F2">
      <w:pPr>
        <w:spacing w:after="0" w:line="240" w:lineRule="auto"/>
        <w:ind w:firstLine="708"/>
        <w:rPr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Яким чином обчислюється сума </w:t>
      </w:r>
      <w:proofErr w:type="spellStart"/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>податку</w:t>
      </w:r>
      <w:proofErr w:type="spellEnd"/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</w:t>
      </w:r>
      <w:proofErr w:type="spellStart"/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>нерухоме</w:t>
      </w:r>
      <w:proofErr w:type="spellEnd"/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>майно</w:t>
      </w:r>
      <w:proofErr w:type="spellEnd"/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>відмі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нне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від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земельної ділянки, для фізичної особи</w:t>
      </w:r>
      <w:r w:rsidRPr="002B77F2">
        <w:rPr>
          <w:rFonts w:ascii="Times New Roman" w:hAnsi="Times New Roman" w:cs="Times New Roman"/>
          <w:b/>
          <w:sz w:val="24"/>
          <w:szCs w:val="24"/>
          <w:lang w:val="uk-UA"/>
        </w:rPr>
        <w:t>?</w:t>
      </w:r>
      <w:r>
        <w:t>       </w:t>
      </w:r>
    </w:p>
    <w:p w:rsidR="002B77F2" w:rsidRDefault="002B77F2" w:rsidP="002B77F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до п.п. 266.4.1 п. 266.4 ст. 266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кодексу України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2010 року № 2755-VI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– ПКУ) база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зменшується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24C65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lastRenderedPageBreak/>
        <w:t xml:space="preserve">        а) для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квартири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/квартир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ї</w:t>
      </w:r>
      <w:proofErr w:type="gramStart"/>
      <w:r w:rsidRPr="002B77F2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– на 60 кв.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метрів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;</w:t>
      </w:r>
      <w:r w:rsidRPr="002B77F2">
        <w:rPr>
          <w:rFonts w:ascii="Times New Roman" w:hAnsi="Times New Roman" w:cs="Times New Roman"/>
          <w:sz w:val="24"/>
          <w:szCs w:val="24"/>
        </w:rPr>
        <w:br/>
        <w:t xml:space="preserve">        б) для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– на 120 кв.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метрів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;</w:t>
      </w:r>
      <w:r w:rsidRPr="002B77F2">
        <w:rPr>
          <w:rFonts w:ascii="Times New Roman" w:hAnsi="Times New Roman" w:cs="Times New Roman"/>
          <w:sz w:val="24"/>
          <w:szCs w:val="24"/>
        </w:rPr>
        <w:br/>
        <w:t xml:space="preserve">        в) для 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одночасного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квартири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/квартир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будинків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), – на 180 кв.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метрів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.</w:t>
      </w:r>
      <w:r w:rsidRPr="002B77F2">
        <w:rPr>
          <w:rFonts w:ascii="Times New Roman" w:hAnsi="Times New Roman" w:cs="Times New Roman"/>
          <w:sz w:val="24"/>
          <w:szCs w:val="24"/>
        </w:rPr>
        <w:br/>
        <w:t>        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п.п. 266.7.1 п. 266.7 ст. 266 ПКУ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обчислення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відмі</w:t>
      </w:r>
      <w:proofErr w:type="gramStart"/>
      <w:r w:rsidRPr="002B77F2">
        <w:rPr>
          <w:rFonts w:ascii="Times New Roman" w:hAnsi="Times New Roman" w:cs="Times New Roman"/>
          <w:sz w:val="24"/>
          <w:szCs w:val="24"/>
        </w:rPr>
        <w:t>нне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контролюючим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органом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такому порядку:</w:t>
      </w:r>
      <w:r w:rsidRPr="002B77F2">
        <w:rPr>
          <w:rFonts w:ascii="Times New Roman" w:hAnsi="Times New Roman" w:cs="Times New Roman"/>
          <w:sz w:val="24"/>
          <w:szCs w:val="24"/>
        </w:rPr>
        <w:br/>
        <w:t xml:space="preserve">        а)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в тому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proofErr w:type="gram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обчислюється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оподаткування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зменшеної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ідпунктів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«а»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«б» п.п. 266.4.1 п. 266.4 ст. 266 ПКУ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ставки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;</w:t>
      </w:r>
      <w:r w:rsidRPr="002B77F2">
        <w:rPr>
          <w:rFonts w:ascii="Times New Roman" w:hAnsi="Times New Roman" w:cs="Times New Roman"/>
          <w:sz w:val="24"/>
          <w:szCs w:val="24"/>
        </w:rPr>
        <w:br/>
        <w:t xml:space="preserve">        б)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одного типу, в тому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обчислюється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сумарної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зменшеної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ідпунктів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«а»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«б» п.п. 266.4.1 п. 266.4 ст. 266 ПКУ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ставки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;</w:t>
      </w:r>
    </w:p>
    <w:p w:rsidR="002B77F2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t xml:space="preserve">        в)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часток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обчислюється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сумарної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зменшеної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до п.п. «в» п.п. 266.4.1 п. 266.4 ст. 266 ПКУ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ставки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;</w:t>
      </w:r>
    </w:p>
    <w:p w:rsidR="002B77F2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t xml:space="preserve">        г) сума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обчислена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ідпунктів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«б»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«в» п.п. 266.7.1 п. 266.7 ст. 266 ПКУ,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розподіляється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контролюючим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питомої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ваги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.</w:t>
      </w:r>
    </w:p>
    <w:p w:rsidR="002B77F2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Обчислення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відмінне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перебувають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контролюючим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органом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такої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площі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ідповідної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ставки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.</w:t>
      </w:r>
    </w:p>
    <w:p w:rsidR="002B77F2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ідпунктом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266.7.1 прим. 1 п. 266.7 ст. 266 ПКУ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частки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перебуває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особи – </w:t>
      </w:r>
      <w:r w:rsidR="00D24C6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B77F2">
        <w:rPr>
          <w:rFonts w:ascii="Times New Roman" w:hAnsi="Times New Roman" w:cs="Times New Roman"/>
          <w:sz w:val="24"/>
          <w:szCs w:val="24"/>
        </w:rPr>
        <w:t>латника</w:t>
      </w:r>
      <w:r w:rsidR="00D24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,</w:t>
      </w:r>
      <w:r w:rsidR="00D24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="00D24C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B77F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площа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  300 кв.  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метрів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квартири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) та/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500 кв.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метрів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), сума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розрахована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ідпунктів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«а» – «г» п.п. 266.7.1 п. 266.7 ст. 266 ПКУ,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збільшується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на 25000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частку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).</w:t>
      </w:r>
    </w:p>
    <w:p w:rsidR="002B77F2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ідпунктом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266.7.2 п. 266.7 ст. 266 ПКУ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податкове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податкові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повідомлення-рішення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відмінне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обчисленого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п.п. 266.7.1 п. 266.7 ст. 266 ПКУ, разом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детальним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розрахунком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платіжні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ісцевого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місцезнаходженням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надсилаються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контролюючим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органом у порядку,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ст. 42 ПКУ, до 1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липня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року,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настає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базовим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податковим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звітним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(роком).</w:t>
      </w:r>
    </w:p>
    <w:p w:rsidR="002B77F2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Податкове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податкові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повідомлення-рішення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відмінне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платіжні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абзаці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п.п. 266.7.2 п. 266.7 ст. 266 ПКУ,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надсилаються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містити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proofErr w:type="gram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про адресу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площу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ставки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надані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фізичним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особам 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77F2">
        <w:rPr>
          <w:rFonts w:ascii="Times New Roman" w:hAnsi="Times New Roman" w:cs="Times New Roman"/>
          <w:sz w:val="24"/>
          <w:szCs w:val="24"/>
        </w:rPr>
        <w:t>ільги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сплати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відмінне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.</w:t>
      </w:r>
    </w:p>
    <w:p w:rsidR="002B77F2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t>        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новоствореного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нововведеного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об’єкта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податок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сплачується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фізичною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особою –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платником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виникло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77F2" w:rsidRDefault="002B77F2" w:rsidP="002B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77F2">
        <w:rPr>
          <w:rFonts w:ascii="Times New Roman" w:hAnsi="Times New Roman" w:cs="Times New Roman"/>
          <w:sz w:val="24"/>
          <w:szCs w:val="24"/>
        </w:rPr>
        <w:lastRenderedPageBreak/>
        <w:t>        </w:t>
      </w:r>
      <w:proofErr w:type="spellStart"/>
      <w:proofErr w:type="gramStart"/>
      <w:r w:rsidRPr="002B77F2">
        <w:rPr>
          <w:rFonts w:ascii="Times New Roman" w:hAnsi="Times New Roman" w:cs="Times New Roman"/>
          <w:sz w:val="24"/>
          <w:szCs w:val="24"/>
        </w:rPr>
        <w:t>Контролюючі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десятиденний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інформують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контролюючі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місцезнаходженням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нежитлової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нерухомості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надіслані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вручені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платнику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податкові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повідомлення-рішення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сплату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центральним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реалізує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фінансову</w:t>
      </w:r>
      <w:proofErr w:type="spellEnd"/>
      <w:proofErr w:type="gramEnd"/>
      <w:r w:rsidRPr="002B7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7F2">
        <w:rPr>
          <w:rFonts w:ascii="Times New Roman" w:hAnsi="Times New Roman" w:cs="Times New Roman"/>
          <w:sz w:val="24"/>
          <w:szCs w:val="24"/>
        </w:rPr>
        <w:t>політику</w:t>
      </w:r>
      <w:proofErr w:type="spellEnd"/>
      <w:r w:rsidRPr="002B77F2">
        <w:rPr>
          <w:rFonts w:ascii="Times New Roman" w:hAnsi="Times New Roman" w:cs="Times New Roman"/>
          <w:sz w:val="24"/>
          <w:szCs w:val="24"/>
        </w:rPr>
        <w:t>.</w:t>
      </w:r>
    </w:p>
    <w:p w:rsidR="002B77F2" w:rsidRPr="00F90590" w:rsidRDefault="002B77F2" w:rsidP="002B7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Джерело інформації - «Загальнодоступний інформаційно-довідковий ресурс» </w:t>
      </w:r>
      <w:proofErr w:type="spellStart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>веб-сайту</w:t>
      </w:r>
      <w:proofErr w:type="spellEnd"/>
      <w:r w:rsidRPr="00F905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  <w:t xml:space="preserve"> ДПС України, за посиланням:  </w:t>
      </w:r>
    </w:p>
    <w:p w:rsidR="002B77F2" w:rsidRPr="002B77F2" w:rsidRDefault="002B77F2" w:rsidP="002B77F2">
      <w:pPr>
        <w:jc w:val="both"/>
        <w:rPr>
          <w:rFonts w:ascii="Times New Roman" w:hAnsi="Times New Roman" w:cs="Times New Roman"/>
          <w:sz w:val="24"/>
          <w:szCs w:val="24"/>
        </w:rPr>
      </w:pPr>
      <w:r w:rsidRPr="002B77F2">
        <w:rPr>
          <w:rFonts w:ascii="Times New Roman" w:hAnsi="Times New Roman" w:cs="Times New Roman"/>
          <w:sz w:val="24"/>
          <w:szCs w:val="24"/>
        </w:rPr>
        <w:t>https://zir.tax.gov.ua/main/bz/view/?src=ques&amp;id=38020</w:t>
      </w:r>
    </w:p>
    <w:p w:rsidR="002B77F2" w:rsidRPr="00A24E76" w:rsidRDefault="002B77F2" w:rsidP="002B77F2">
      <w:pPr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uk-UA" w:eastAsia="ru-RU"/>
        </w:rPr>
      </w:pPr>
    </w:p>
    <w:p w:rsidR="00A24E76" w:rsidRPr="00F90590" w:rsidRDefault="00A24E76" w:rsidP="00265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24E76" w:rsidRPr="00F90590" w:rsidSect="00F90590">
      <w:headerReference w:type="default" r:id="rId10"/>
      <w:pgSz w:w="11906" w:h="16838"/>
      <w:pgMar w:top="567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A28" w:rsidRDefault="004B6A28" w:rsidP="008C09B3">
      <w:pPr>
        <w:spacing w:after="0" w:line="240" w:lineRule="auto"/>
      </w:pPr>
      <w:r>
        <w:separator/>
      </w:r>
    </w:p>
  </w:endnote>
  <w:endnote w:type="continuationSeparator" w:id="0">
    <w:p w:rsidR="004B6A28" w:rsidRDefault="004B6A28" w:rsidP="008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A28" w:rsidRDefault="004B6A28" w:rsidP="008C09B3">
      <w:pPr>
        <w:spacing w:after="0" w:line="240" w:lineRule="auto"/>
      </w:pPr>
      <w:r>
        <w:separator/>
      </w:r>
    </w:p>
  </w:footnote>
  <w:footnote w:type="continuationSeparator" w:id="0">
    <w:p w:rsidR="004B6A28" w:rsidRDefault="004B6A28" w:rsidP="008C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9844"/>
      <w:docPartObj>
        <w:docPartGallery w:val="Page Numbers (Top of Page)"/>
        <w:docPartUnique/>
      </w:docPartObj>
    </w:sdtPr>
    <w:sdtContent>
      <w:p w:rsidR="008C09B3" w:rsidRPr="00537EA3" w:rsidRDefault="001412AE" w:rsidP="00537EA3">
        <w:pPr>
          <w:pStyle w:val="a8"/>
          <w:jc w:val="center"/>
        </w:pPr>
        <w:fldSimple w:instr=" PAGE   \* MERGEFORMAT ">
          <w:r w:rsidR="00D24C6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0F2"/>
    <w:multiLevelType w:val="hybridMultilevel"/>
    <w:tmpl w:val="974CCC78"/>
    <w:lvl w:ilvl="0" w:tplc="77660B1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42A4E5C"/>
    <w:multiLevelType w:val="hybridMultilevel"/>
    <w:tmpl w:val="97481B34"/>
    <w:lvl w:ilvl="0" w:tplc="464C3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5FD"/>
    <w:rsid w:val="000157D2"/>
    <w:rsid w:val="000162C3"/>
    <w:rsid w:val="00017989"/>
    <w:rsid w:val="00026803"/>
    <w:rsid w:val="000333AA"/>
    <w:rsid w:val="00036790"/>
    <w:rsid w:val="000641A9"/>
    <w:rsid w:val="000B41F6"/>
    <w:rsid w:val="000B6D00"/>
    <w:rsid w:val="000B7B4F"/>
    <w:rsid w:val="000C3331"/>
    <w:rsid w:val="000D6A97"/>
    <w:rsid w:val="000E51DC"/>
    <w:rsid w:val="000E6E9C"/>
    <w:rsid w:val="000F0382"/>
    <w:rsid w:val="000F1BE5"/>
    <w:rsid w:val="00110EFB"/>
    <w:rsid w:val="001114F3"/>
    <w:rsid w:val="00111DE9"/>
    <w:rsid w:val="001412AE"/>
    <w:rsid w:val="00144426"/>
    <w:rsid w:val="001511DE"/>
    <w:rsid w:val="00151A87"/>
    <w:rsid w:val="00173FFC"/>
    <w:rsid w:val="00180CFA"/>
    <w:rsid w:val="001819FE"/>
    <w:rsid w:val="00194FB0"/>
    <w:rsid w:val="001A1739"/>
    <w:rsid w:val="001A718F"/>
    <w:rsid w:val="001B728D"/>
    <w:rsid w:val="001D0839"/>
    <w:rsid w:val="001D29B2"/>
    <w:rsid w:val="001F471C"/>
    <w:rsid w:val="001F56AE"/>
    <w:rsid w:val="001F75D9"/>
    <w:rsid w:val="0021379B"/>
    <w:rsid w:val="0022203C"/>
    <w:rsid w:val="00225B87"/>
    <w:rsid w:val="0024022A"/>
    <w:rsid w:val="002419D3"/>
    <w:rsid w:val="00265104"/>
    <w:rsid w:val="00267ADA"/>
    <w:rsid w:val="00272204"/>
    <w:rsid w:val="00286CE3"/>
    <w:rsid w:val="002A1927"/>
    <w:rsid w:val="002B77F2"/>
    <w:rsid w:val="002C1A21"/>
    <w:rsid w:val="002C44C2"/>
    <w:rsid w:val="002D220D"/>
    <w:rsid w:val="002E18BF"/>
    <w:rsid w:val="002E4D1E"/>
    <w:rsid w:val="002E588A"/>
    <w:rsid w:val="002F001E"/>
    <w:rsid w:val="00304640"/>
    <w:rsid w:val="0035764C"/>
    <w:rsid w:val="00364A30"/>
    <w:rsid w:val="00380CE7"/>
    <w:rsid w:val="00391395"/>
    <w:rsid w:val="00394308"/>
    <w:rsid w:val="003B1A85"/>
    <w:rsid w:val="003D63E4"/>
    <w:rsid w:val="003D7D49"/>
    <w:rsid w:val="00421955"/>
    <w:rsid w:val="00437656"/>
    <w:rsid w:val="0045569F"/>
    <w:rsid w:val="004A0C9D"/>
    <w:rsid w:val="004B6A28"/>
    <w:rsid w:val="004C6ADB"/>
    <w:rsid w:val="004D24E6"/>
    <w:rsid w:val="005215FB"/>
    <w:rsid w:val="0053395B"/>
    <w:rsid w:val="0053725E"/>
    <w:rsid w:val="00537EA3"/>
    <w:rsid w:val="00564F33"/>
    <w:rsid w:val="00573468"/>
    <w:rsid w:val="0059207A"/>
    <w:rsid w:val="00592CDB"/>
    <w:rsid w:val="005A721D"/>
    <w:rsid w:val="005B3D44"/>
    <w:rsid w:val="005E2EDD"/>
    <w:rsid w:val="005E7E85"/>
    <w:rsid w:val="00613847"/>
    <w:rsid w:val="00621D04"/>
    <w:rsid w:val="00622A30"/>
    <w:rsid w:val="0062419A"/>
    <w:rsid w:val="00631537"/>
    <w:rsid w:val="00635A1F"/>
    <w:rsid w:val="00642087"/>
    <w:rsid w:val="00644C4A"/>
    <w:rsid w:val="00646425"/>
    <w:rsid w:val="006470FF"/>
    <w:rsid w:val="0065496A"/>
    <w:rsid w:val="00662438"/>
    <w:rsid w:val="006646F2"/>
    <w:rsid w:val="00664974"/>
    <w:rsid w:val="00680E51"/>
    <w:rsid w:val="006E2D10"/>
    <w:rsid w:val="006E5C1E"/>
    <w:rsid w:val="007110E2"/>
    <w:rsid w:val="00711682"/>
    <w:rsid w:val="0073324B"/>
    <w:rsid w:val="00745D15"/>
    <w:rsid w:val="007512F9"/>
    <w:rsid w:val="0077213A"/>
    <w:rsid w:val="007B05CA"/>
    <w:rsid w:val="007E360F"/>
    <w:rsid w:val="00816D09"/>
    <w:rsid w:val="0082301F"/>
    <w:rsid w:val="008263A2"/>
    <w:rsid w:val="0084067A"/>
    <w:rsid w:val="008450FE"/>
    <w:rsid w:val="008637B0"/>
    <w:rsid w:val="008716BD"/>
    <w:rsid w:val="008805AA"/>
    <w:rsid w:val="008C09B3"/>
    <w:rsid w:val="008D09D8"/>
    <w:rsid w:val="00922AF0"/>
    <w:rsid w:val="00945FAC"/>
    <w:rsid w:val="00966F3B"/>
    <w:rsid w:val="00973779"/>
    <w:rsid w:val="009819CA"/>
    <w:rsid w:val="009839D0"/>
    <w:rsid w:val="00984B63"/>
    <w:rsid w:val="00985A43"/>
    <w:rsid w:val="009905EF"/>
    <w:rsid w:val="0099165F"/>
    <w:rsid w:val="00993C07"/>
    <w:rsid w:val="009B19E5"/>
    <w:rsid w:val="009E40EB"/>
    <w:rsid w:val="009F114C"/>
    <w:rsid w:val="009F6387"/>
    <w:rsid w:val="00A04433"/>
    <w:rsid w:val="00A07C8A"/>
    <w:rsid w:val="00A07FC3"/>
    <w:rsid w:val="00A24E76"/>
    <w:rsid w:val="00A30501"/>
    <w:rsid w:val="00A339D9"/>
    <w:rsid w:val="00A36B75"/>
    <w:rsid w:val="00A75685"/>
    <w:rsid w:val="00A76E3E"/>
    <w:rsid w:val="00A83B87"/>
    <w:rsid w:val="00A841E9"/>
    <w:rsid w:val="00A87529"/>
    <w:rsid w:val="00AA1028"/>
    <w:rsid w:val="00B12E90"/>
    <w:rsid w:val="00B157E7"/>
    <w:rsid w:val="00B23F61"/>
    <w:rsid w:val="00B56603"/>
    <w:rsid w:val="00B7156A"/>
    <w:rsid w:val="00B93026"/>
    <w:rsid w:val="00BB0C56"/>
    <w:rsid w:val="00BB5C78"/>
    <w:rsid w:val="00BB68CE"/>
    <w:rsid w:val="00BD1D7A"/>
    <w:rsid w:val="00C02625"/>
    <w:rsid w:val="00C3061E"/>
    <w:rsid w:val="00C444D5"/>
    <w:rsid w:val="00C64F0F"/>
    <w:rsid w:val="00C72B6E"/>
    <w:rsid w:val="00CB074F"/>
    <w:rsid w:val="00CD7DEF"/>
    <w:rsid w:val="00CE2C9B"/>
    <w:rsid w:val="00D025FD"/>
    <w:rsid w:val="00D24C65"/>
    <w:rsid w:val="00D430C1"/>
    <w:rsid w:val="00D446E6"/>
    <w:rsid w:val="00D44B10"/>
    <w:rsid w:val="00D603DD"/>
    <w:rsid w:val="00D93572"/>
    <w:rsid w:val="00DA24B6"/>
    <w:rsid w:val="00DA5AA5"/>
    <w:rsid w:val="00DD43EF"/>
    <w:rsid w:val="00DE2F07"/>
    <w:rsid w:val="00E23586"/>
    <w:rsid w:val="00E329B8"/>
    <w:rsid w:val="00E55E6A"/>
    <w:rsid w:val="00E716A3"/>
    <w:rsid w:val="00E827D8"/>
    <w:rsid w:val="00EB7B49"/>
    <w:rsid w:val="00ED0BAF"/>
    <w:rsid w:val="00ED1EBE"/>
    <w:rsid w:val="00ED5C46"/>
    <w:rsid w:val="00F06505"/>
    <w:rsid w:val="00F1320B"/>
    <w:rsid w:val="00F2065E"/>
    <w:rsid w:val="00F25751"/>
    <w:rsid w:val="00F36C88"/>
    <w:rsid w:val="00F473E1"/>
    <w:rsid w:val="00F90590"/>
    <w:rsid w:val="00FA3CEA"/>
    <w:rsid w:val="00FE37EB"/>
    <w:rsid w:val="00FE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3A"/>
  </w:style>
  <w:style w:type="paragraph" w:styleId="1">
    <w:name w:val="heading 1"/>
    <w:basedOn w:val="a"/>
    <w:link w:val="10"/>
    <w:uiPriority w:val="9"/>
    <w:qFormat/>
    <w:rsid w:val="00D02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25FD"/>
    <w:rPr>
      <w:b/>
      <w:bCs/>
    </w:rPr>
  </w:style>
  <w:style w:type="paragraph" w:styleId="a4">
    <w:name w:val="Normal (Web)"/>
    <w:basedOn w:val="a"/>
    <w:uiPriority w:val="99"/>
    <w:semiHidden/>
    <w:unhideWhenUsed/>
    <w:rsid w:val="00D0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D025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A2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09B3"/>
  </w:style>
  <w:style w:type="paragraph" w:styleId="aa">
    <w:name w:val="footer"/>
    <w:basedOn w:val="a"/>
    <w:link w:val="ab"/>
    <w:uiPriority w:val="99"/>
    <w:semiHidden/>
    <w:unhideWhenUsed/>
    <w:rsid w:val="008C09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09B3"/>
  </w:style>
  <w:style w:type="character" w:styleId="ac">
    <w:name w:val="FollowedHyperlink"/>
    <w:basedOn w:val="a0"/>
    <w:uiPriority w:val="99"/>
    <w:semiHidden/>
    <w:unhideWhenUsed/>
    <w:rsid w:val="0035764C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80C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75685"/>
    <w:rPr>
      <w:rFonts w:ascii="Microsoft Sans Serif" w:eastAsia="Microsoft Sans Serif" w:hAnsi="Microsoft Sans Serif" w:cs="Microsoft Sans Serif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5685"/>
    <w:pPr>
      <w:widowControl w:val="0"/>
      <w:shd w:val="clear" w:color="auto" w:fill="FFFFFF"/>
      <w:spacing w:after="740" w:line="750" w:lineRule="exact"/>
    </w:pPr>
    <w:rPr>
      <w:rFonts w:ascii="Microsoft Sans Serif" w:eastAsia="Microsoft Sans Serif" w:hAnsi="Microsoft Sans Serif" w:cs="Microsoft Sans Serif"/>
      <w:sz w:val="58"/>
      <w:szCs w:val="58"/>
    </w:rPr>
  </w:style>
  <w:style w:type="paragraph" w:styleId="ae">
    <w:name w:val="No Spacing"/>
    <w:uiPriority w:val="1"/>
    <w:qFormat/>
    <w:rsid w:val="009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basedOn w:val="a0"/>
    <w:rsid w:val="00973779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90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ir.tax.gov.ua/main/bz/view/?src=ques&amp;id=39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BABEC-1B53-43C0-9435-527A06C7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5073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Судніков Євген Миколайович</cp:lastModifiedBy>
  <cp:revision>10</cp:revision>
  <cp:lastPrinted>2024-10-31T08:03:00Z</cp:lastPrinted>
  <dcterms:created xsi:type="dcterms:W3CDTF">2024-10-31T07:47:00Z</dcterms:created>
  <dcterms:modified xsi:type="dcterms:W3CDTF">2025-03-20T07:14:00Z</dcterms:modified>
</cp:coreProperties>
</file>