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0519CC">
      <w:r w:rsidRPr="000519CC">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0519CC">
      <w:r w:rsidRPr="000519CC">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2C716F" w:rsidRPr="00262A3B" w:rsidRDefault="00FF5A00" w:rsidP="00FF5A00">
                  <w:pPr>
                    <w:spacing w:after="0" w:line="240" w:lineRule="atLeast"/>
                    <w:rPr>
                      <w:sz w:val="29"/>
                      <w:szCs w:val="29"/>
                    </w:rPr>
                  </w:pPr>
                  <w:r w:rsidRPr="00262A3B">
                    <w:rPr>
                      <w:rFonts w:ascii="e-Ukraine Bold" w:hAnsi="e-Ukraine Bold" w:cs="Times New Roman"/>
                      <w:b/>
                      <w:bCs/>
                      <w:kern w:val="36"/>
                      <w:sz w:val="29"/>
                      <w:szCs w:val="29"/>
                      <w:lang w:eastAsia="uk-UA"/>
                    </w:rPr>
                    <w:t>Як отримати податкову знижку за витратами понесеними на придбання акцій (інших корпоративних прав), емітентом яких є юридична особа, яка набула статусу резидента Дія Сіті?</w:t>
                  </w: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0519CC">
      <w:r w:rsidRPr="000519CC">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FF5A00"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вересень</w:t>
                  </w:r>
                  <w:proofErr w:type="spellEnd"/>
                  <w:r w:rsidR="00B27686" w:rsidRPr="00EC5E2B">
                    <w:rPr>
                      <w:rFonts w:ascii="e-Ukraine Bold" w:hAnsi="e-Ukraine Bold" w:cs="e-Ukraine Bold"/>
                      <w:b/>
                      <w:bCs/>
                      <w:i/>
                      <w:iCs/>
                      <w:color w:val="0033CC"/>
                      <w:sz w:val="28"/>
                      <w:szCs w:val="28"/>
                      <w:lang w:val="ru-RU"/>
                    </w:rPr>
                    <w:t xml:space="preserve"> </w:t>
                  </w:r>
                  <w:r w:rsidR="00602311" w:rsidRPr="00EC5E2B">
                    <w:rPr>
                      <w:rFonts w:ascii="e-Ukraine Bold" w:hAnsi="e-Ukraine Bold" w:cs="e-Ukraine Bold"/>
                      <w:b/>
                      <w:bCs/>
                      <w:i/>
                      <w:iCs/>
                      <w:color w:val="0033CC"/>
                      <w:sz w:val="28"/>
                      <w:szCs w:val="28"/>
                      <w:lang w:val="ru-RU"/>
                    </w:rPr>
                    <w:t xml:space="preserve"> </w:t>
                  </w:r>
                  <w:r w:rsidR="00584753">
                    <w:rPr>
                      <w:rFonts w:ascii="e-Ukraine Bold" w:hAnsi="e-Ukraine Bold" w:cs="e-Ukraine Bold"/>
                      <w:b/>
                      <w:bCs/>
                      <w:i/>
                      <w:iCs/>
                      <w:color w:val="0033CC"/>
                      <w:sz w:val="28"/>
                      <w:szCs w:val="28"/>
                    </w:rPr>
                    <w:t>2024</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7436B9">
      <w:r>
        <w:rPr>
          <w:noProof/>
          <w:lang w:eastAsia="uk-UA"/>
        </w:rPr>
        <w:lastRenderedPageBreak/>
        <w:drawing>
          <wp:anchor distT="0" distB="0" distL="114300" distR="114300" simplePos="0" relativeHeight="251655168" behindDoc="0" locked="0" layoutInCell="1" allowOverlap="1">
            <wp:simplePos x="0" y="0"/>
            <wp:positionH relativeFrom="column">
              <wp:posOffset>7219950</wp:posOffset>
            </wp:positionH>
            <wp:positionV relativeFrom="paragraph">
              <wp:posOffset>-200025</wp:posOffset>
            </wp:positionV>
            <wp:extent cx="600075" cy="285750"/>
            <wp:effectExtent l="19050" t="0" r="9525"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075" cy="285750"/>
                    </a:xfrm>
                    <a:prstGeom prst="rect">
                      <a:avLst/>
                    </a:prstGeom>
                    <a:noFill/>
                  </pic:spPr>
                </pic:pic>
              </a:graphicData>
            </a:graphic>
          </wp:anchor>
        </w:drawing>
      </w:r>
      <w:r>
        <w:rPr>
          <w:noProof/>
          <w:lang w:eastAsia="uk-UA"/>
        </w:rPr>
        <w:drawing>
          <wp:anchor distT="0" distB="0" distL="114300" distR="114300" simplePos="0" relativeHeight="251654144" behindDoc="0" locked="0" layoutInCell="1" allowOverlap="1">
            <wp:simplePos x="0" y="0"/>
            <wp:positionH relativeFrom="column">
              <wp:posOffset>2076450</wp:posOffset>
            </wp:positionH>
            <wp:positionV relativeFrom="paragraph">
              <wp:posOffset>-200025</wp:posOffset>
            </wp:positionV>
            <wp:extent cx="600075" cy="285750"/>
            <wp:effectExtent l="19050" t="0" r="9525"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075" cy="285750"/>
                    </a:xfrm>
                    <a:prstGeom prst="rect">
                      <a:avLst/>
                    </a:prstGeom>
                    <a:noFill/>
                  </pic:spPr>
                </pic:pic>
              </a:graphicData>
            </a:graphic>
          </wp:anchor>
        </w:drawing>
      </w:r>
      <w:r w:rsidRPr="000519CC">
        <w:rPr>
          <w:noProof/>
          <w:lang w:val="ru-RU" w:eastAsia="ru-RU"/>
        </w:rPr>
        <w:pict>
          <v:group id="Группа 92" o:spid="_x0000_s1030" style="position:absolute;margin-left:-15.4pt;margin-top:-9pt;width:791.8pt;height:551.3pt;z-index:251653120;mso-position-horizontal-relative:text;mso-position-vertical-relative:text"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 Амур-Нижньодніпровський, Індустріальний та Самарський райони м. Дніпра) нагадує, що відповідно до п. 166.3.10 п. 166.3 ст. 166 Податкового кодексу України (далі – ПКУ) платник податку на доходи фізичних осіб (податок) має право включити до податкової знижки у зменшення оподатковуваного доходу у вигляді дивідендів, крім сум дивідендів, які не включаються до розрахунку загального місячного (річного) оподатковуваного доходу, фактично здійснені ним протягом звітного податкового року витрати на придбання акцій (інших корпоративних прав), емітентом яких є юридична особа, яка набула статус резидента Дія Сіті згідно з частиною третьою ст. 5 Закону України від</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15 липня 2021 року № 1667-ІХ «Про стимулювання розвитку цифрової економіки в Україні» (із змінами) (далі – Закон № 1667), за умови що такі витрати були понесені платником податку до набуття емітентом статусу резидента Дія Сіті або впродовж періоду, коли такий резидент Дія Сіті відповідав вимозі, встановленій п. 3 частини третьої ст. 5 Закону № 1667.</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При цьому, юридична особа набуває статусу резидента Дія Сіті з дня внесення відповідного запису до реєстру Дія Сіті з урахуванням положень частини сьомої ст. 2 Закону № 1667 (частина друга ст. 4</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Закону № 1667).</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 xml:space="preserve">Сума податкової знижки, нарахована платнику податку у звітному податковому році, у разі включення до податкової знижки витрат, передбачених </w:t>
                      </w:r>
                      <w:proofErr w:type="spellStart"/>
                      <w:r w:rsidRPr="003B6D9F">
                        <w:rPr>
                          <w:rFonts w:ascii="e-Ukraine" w:hAnsi="e-Ukraine" w:cs="Times New Roman"/>
                          <w:sz w:val="28"/>
                          <w:szCs w:val="28"/>
                          <w:lang w:eastAsia="uk-UA"/>
                        </w:rPr>
                        <w:t>п.п</w:t>
                      </w:r>
                      <w:proofErr w:type="spellEnd"/>
                      <w:r w:rsidRPr="003B6D9F">
                        <w:rPr>
                          <w:rFonts w:ascii="e-Ukraine" w:hAnsi="e-Ukraine" w:cs="Times New Roman"/>
                          <w:sz w:val="28"/>
                          <w:szCs w:val="28"/>
                          <w:lang w:eastAsia="uk-UA"/>
                        </w:rPr>
                        <w:t>. 166.3.10 п. 166.3</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ст. 166 ПКУ, розраховується окремо від інших витрат та не може перевищувати суму річного загального оподатковуваного доходу платника податку, отриманого у вигляді дивідендів, крім сум дивідендів, що не включаються до розрахунку загального місячного (річного) оподатковуваного доходу (абзац перший </w:t>
                      </w:r>
                      <w:proofErr w:type="spellStart"/>
                      <w:r w:rsidRPr="003B6D9F">
                        <w:rPr>
                          <w:rFonts w:ascii="e-Ukraine" w:hAnsi="e-Ukraine" w:cs="Times New Roman"/>
                          <w:sz w:val="28"/>
                          <w:szCs w:val="28"/>
                          <w:lang w:eastAsia="uk-UA"/>
                        </w:rPr>
                        <w:t>п.п</w:t>
                      </w:r>
                      <w:proofErr w:type="spellEnd"/>
                      <w:r w:rsidRPr="003B6D9F">
                        <w:rPr>
                          <w:rFonts w:ascii="e-Ukraine" w:hAnsi="e-Ukraine" w:cs="Times New Roman"/>
                          <w:sz w:val="28"/>
                          <w:szCs w:val="28"/>
                          <w:lang w:eastAsia="uk-UA"/>
                        </w:rPr>
                        <w:t>. 166.4.4 п. 166.4</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ст. 166 ПКУ).</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w:t>
                      </w:r>
                      <w:proofErr w:type="spellStart"/>
                      <w:r w:rsidRPr="003B6D9F">
                        <w:rPr>
                          <w:rFonts w:ascii="e-Ukraine" w:hAnsi="e-Ukraine" w:cs="Times New Roman"/>
                          <w:sz w:val="28"/>
                          <w:szCs w:val="28"/>
                          <w:lang w:eastAsia="uk-UA"/>
                        </w:rPr>
                        <w:t>отримувача</w:t>
                      </w:r>
                      <w:proofErr w:type="spellEnd"/>
                      <w:r w:rsidRPr="003B6D9F">
                        <w:rPr>
                          <w:rFonts w:ascii="e-Ukraine" w:hAnsi="e-Ukraine" w:cs="Times New Roman"/>
                          <w:sz w:val="28"/>
                          <w:szCs w:val="28"/>
                          <w:lang w:eastAsia="uk-UA"/>
                        </w:rPr>
                        <w:t>),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 (</w:t>
                      </w:r>
                      <w:proofErr w:type="spellStart"/>
                      <w:r w:rsidRPr="003B6D9F">
                        <w:rPr>
                          <w:rFonts w:ascii="e-Ukraine" w:hAnsi="e-Ukraine" w:cs="Times New Roman"/>
                          <w:sz w:val="28"/>
                          <w:szCs w:val="28"/>
                          <w:lang w:eastAsia="uk-UA"/>
                        </w:rPr>
                        <w:t>п.п</w:t>
                      </w:r>
                      <w:proofErr w:type="spellEnd"/>
                      <w:r w:rsidRPr="003B6D9F">
                        <w:rPr>
                          <w:rFonts w:ascii="e-Ukraine" w:hAnsi="e-Ukraine" w:cs="Times New Roman"/>
                          <w:sz w:val="28"/>
                          <w:szCs w:val="28"/>
                          <w:lang w:eastAsia="uk-UA"/>
                        </w:rPr>
                        <w:t>. 166.2.1 п. 166.2</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ст. 166 ПКУ).</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 xml:space="preserve">Згідно </w:t>
                      </w:r>
                      <w:proofErr w:type="spellStart"/>
                      <w:r w:rsidRPr="003B6D9F">
                        <w:rPr>
                          <w:rFonts w:ascii="e-Ukraine" w:hAnsi="e-Ukraine" w:cs="Times New Roman"/>
                          <w:sz w:val="28"/>
                          <w:szCs w:val="28"/>
                          <w:lang w:eastAsia="uk-UA"/>
                        </w:rPr>
                        <w:t>п.п</w:t>
                      </w:r>
                      <w:proofErr w:type="spellEnd"/>
                      <w:r w:rsidRPr="003B6D9F">
                        <w:rPr>
                          <w:rFonts w:ascii="e-Ukraine" w:hAnsi="e-Ukraine" w:cs="Times New Roman"/>
                          <w:sz w:val="28"/>
                          <w:szCs w:val="28"/>
                          <w:lang w:eastAsia="uk-UA"/>
                        </w:rPr>
                        <w:t>. 166.2.2 п. 166.2 ст. 166 ПКУ, копії таких документів (крім електронних розрахункових документів) надаються разом з податковою декларацією про майновий стан і доходи (далі – Декларація), а оригінали цих документів не надсилаються контролюючому органу, але підлягають зберіганню платником податку протягом строку давності, встановленого ПКУ.</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У разі, якщо відповідні витрати підтверджені електронним розрахунковим документом, платник податків зазначає в Декларації лише реквізити електронного розрахункового документа.</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Для документального підтвердження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 в 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ПКУ та міститься в інформаційних базах центрального органу виконавчої влади, що реалізує державну податкову політику</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w:t>
                      </w:r>
                      <w:proofErr w:type="spellStart"/>
                      <w:r w:rsidRPr="003B6D9F">
                        <w:rPr>
                          <w:rFonts w:ascii="e-Ukraine" w:hAnsi="e-Ukraine" w:cs="Times New Roman"/>
                          <w:sz w:val="28"/>
                          <w:szCs w:val="28"/>
                          <w:lang w:eastAsia="uk-UA"/>
                        </w:rPr>
                        <w:t>п.п</w:t>
                      </w:r>
                      <w:proofErr w:type="spellEnd"/>
                      <w:r w:rsidRPr="003B6D9F">
                        <w:rPr>
                          <w:rFonts w:ascii="e-Ukraine" w:hAnsi="e-Ukraine" w:cs="Times New Roman"/>
                          <w:sz w:val="28"/>
                          <w:szCs w:val="28"/>
                          <w:lang w:eastAsia="uk-UA"/>
                        </w:rPr>
                        <w:t>. 166.2.3 п. 166.2 ст. 166 ПКУ).</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 xml:space="preserve">Статтею 1 </w:t>
                      </w:r>
                      <w:proofErr w:type="spellStart"/>
                      <w:r w:rsidRPr="003B6D9F">
                        <w:rPr>
                          <w:rFonts w:ascii="e-Ukraine" w:hAnsi="e-Ukraine" w:cs="Times New Roman"/>
                          <w:sz w:val="28"/>
                          <w:szCs w:val="28"/>
                          <w:lang w:eastAsia="uk-UA"/>
                        </w:rPr>
                        <w:t>розд</w:t>
                      </w:r>
                      <w:proofErr w:type="spellEnd"/>
                      <w:r w:rsidRPr="003B6D9F">
                        <w:rPr>
                          <w:rFonts w:ascii="e-Ukraine" w:hAnsi="e-Ukraine" w:cs="Times New Roman"/>
                          <w:sz w:val="28"/>
                          <w:szCs w:val="28"/>
                          <w:lang w:eastAsia="uk-UA"/>
                        </w:rPr>
                        <w:t>. І Закону України від 16 липня 1999 року № 996-ХІV «Про бухгалтерський облік та фінансову звітність в Україні» (із змінами) (далі – Закон № 996) визначено, що первинний документ – це документ, який містить відомості про господарську операцію.</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Перелік обов’язкових реквізитів, які повинні мати первинні документи, визначено частиною другою ст. 9</w:t>
                      </w:r>
                      <w:r>
                        <w:rPr>
                          <w:rFonts w:ascii="e-Ukraine" w:hAnsi="e-Ukraine" w:cs="Times New Roman"/>
                          <w:sz w:val="28"/>
                          <w:szCs w:val="28"/>
                          <w:lang w:eastAsia="uk-UA"/>
                        </w:rPr>
                        <w:t xml:space="preserve">           </w:t>
                      </w:r>
                      <w:r w:rsidRPr="003B6D9F">
                        <w:rPr>
                          <w:rFonts w:ascii="e-Ukraine" w:hAnsi="e-Ukraine" w:cs="Times New Roman"/>
                          <w:sz w:val="28"/>
                          <w:szCs w:val="28"/>
                          <w:lang w:eastAsia="uk-UA"/>
                        </w:rPr>
                        <w:t xml:space="preserve"> Закону № 996.</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Враховуючи викладене, фізична особа – платник податку, яка має право скористатися податковою знижкою за витратами, понесеними на придбання акцій (інших корпоративних прав), емітентом яких є юридична особа, яка набула статус резидента Дія Сіті, повинна подати до контролюючого органу разом з Декларацією підтверджувальні документами, що засвідчують факт понесення таких витрат: копії платіжних та розрахункових документів, зокрема, квитанції, фіскальні чеки, прибуткові касові ордери, що ідентифікують юридичну особу – емітента акцій (інших корпоративних прав) і особу, яка звертається за податковою знижкою, в яких чітко визначені сума витрат, дата здійснення розрахунків (має відповідати даті до набуття емітентом статусу резидента Дія Сіті або впродовж періоду, коли такий резидент Дія Сіті відповідав вимозі, встановленій п. 3 частини третьої ст. 5 Закону № 1667), а також копії договору купівлі-продажу, витягу з реєстру Дія Сіті, тощо.</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При цьому, з метою розрахунку податкової знижки, інформацію щодо сум нарахованого загального річного оподатковуваного доходу у вигляді дивідендів, утриманого із таких доходів податку на доходи фізичних осіб, фізична особа – платник податку отримує у вигляді довідки про доходи від юридичної особи – резидента Дія Сіті.</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FF5A00" w:rsidRPr="003B6D9F" w:rsidRDefault="00FF5A00" w:rsidP="00FF5A00">
                      <w:pPr>
                        <w:spacing w:after="0" w:line="240" w:lineRule="auto"/>
                        <w:ind w:firstLine="567"/>
                        <w:jc w:val="both"/>
                        <w:rPr>
                          <w:rFonts w:ascii="e-Ukraine" w:hAnsi="e-Ukraine" w:cs="Times New Roman"/>
                          <w:sz w:val="28"/>
                          <w:szCs w:val="28"/>
                          <w:lang w:eastAsia="uk-UA"/>
                        </w:rPr>
                      </w:pPr>
                      <w:r w:rsidRPr="003B6D9F">
                        <w:rPr>
                          <w:rFonts w:ascii="e-Ukraine" w:hAnsi="e-Ukraine" w:cs="Times New Roman"/>
                          <w:sz w:val="28"/>
                          <w:szCs w:val="28"/>
                          <w:lang w:eastAsia="uk-UA"/>
                        </w:rPr>
                        <w:t>Водночас, згідно з п. 176.1 ст. 176 ПКУ платники податку зобов’язані на вимогу контролюючого органу та в межах його повноважень, визначених законодавством, пред’являти документи і відомості, пов’язані з виникненням доходу або права на отримання податкової знижки, обчисленням і сплатою податку, та підтверджувати необхідними документами достовірності відомостей, зазначених у Декларації з цього податку.</w:t>
                      </w:r>
                      <w:r w:rsidRPr="003B6D9F">
                        <w:rPr>
                          <w:rFonts w:ascii="Times New Roman" w:hAnsi="Times New Roman" w:cs="Times New Roman"/>
                          <w:sz w:val="28"/>
                          <w:szCs w:val="28"/>
                          <w:lang w:eastAsia="uk-UA"/>
                        </w:rPr>
                        <w:t> </w:t>
                      </w:r>
                      <w:r w:rsidRPr="003B6D9F">
                        <w:rPr>
                          <w:rFonts w:ascii="e-Ukraine" w:hAnsi="e-Ukraine" w:cs="Times New Roman"/>
                          <w:sz w:val="28"/>
                          <w:szCs w:val="28"/>
                          <w:lang w:eastAsia="uk-UA"/>
                        </w:rPr>
                        <w:t xml:space="preserve"> </w:t>
                      </w: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eastAsia="uk-UA"/>
        </w:rPr>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0519CC" w:rsidRPr="000519CC">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0519CC">
      <w:r w:rsidRPr="000519CC">
        <w:rPr>
          <w:noProof/>
          <w:lang w:val="ru-RU" w:eastAsia="ru-RU"/>
        </w:rPr>
        <w:pict>
          <v:group id="Группа 93" o:spid="_x0000_s1050" style="position:absolute;margin-left:-14.25pt;margin-top:-494.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eastAsia="uk-UA"/>
        </w:rPr>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0519CC" w:rsidRPr="000519CC">
        <w:rPr>
          <w:noProof/>
          <w:lang w:val="ru-RU" w:eastAsia="ru-RU"/>
        </w:rPr>
        <w:pict>
          <v:group id="Группа 144" o:spid="_x0000_s1067" style="position:absolute;margin-left:-3.25pt;margin-top:-11.9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00"/>
    <w:family w:val="modern"/>
    <w:notTrueType/>
    <w:pitch w:val="variable"/>
    <w:sig w:usb0="00000207" w:usb1="00000001" w:usb2="00000000" w:usb3="00000000" w:csb0="00000097" w:csb1="00000000"/>
  </w:font>
  <w:font w:name="e-Ukraine Bold">
    <w:altName w:val="Arial"/>
    <w:panose1 w:val="00000800000000000000"/>
    <w:charset w:val="00"/>
    <w:family w:val="modern"/>
    <w:notTrueType/>
    <w:pitch w:val="variable"/>
    <w:sig w:usb0="00000207" w:usb1="00000001"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savePreviewPicture/>
  <w:doNotValidateAgainstSchema/>
  <w:doNotDemarcateInvalidXml/>
  <w:compat/>
  <w:rsids>
    <w:rsidRoot w:val="00AB302E"/>
    <w:rsid w:val="00002837"/>
    <w:rsid w:val="00004027"/>
    <w:rsid w:val="00006C21"/>
    <w:rsid w:val="0001222B"/>
    <w:rsid w:val="000144B4"/>
    <w:rsid w:val="00016B68"/>
    <w:rsid w:val="000203D0"/>
    <w:rsid w:val="00021DF6"/>
    <w:rsid w:val="0002421E"/>
    <w:rsid w:val="000248ED"/>
    <w:rsid w:val="0002638A"/>
    <w:rsid w:val="00033E54"/>
    <w:rsid w:val="000479B3"/>
    <w:rsid w:val="000519CC"/>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9B0"/>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3778"/>
    <w:rsid w:val="00237802"/>
    <w:rsid w:val="0024199B"/>
    <w:rsid w:val="002425C8"/>
    <w:rsid w:val="00243CAA"/>
    <w:rsid w:val="0025400C"/>
    <w:rsid w:val="002556DA"/>
    <w:rsid w:val="002572F6"/>
    <w:rsid w:val="002605C8"/>
    <w:rsid w:val="00261934"/>
    <w:rsid w:val="00262A3B"/>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A5C06"/>
    <w:rsid w:val="003B3967"/>
    <w:rsid w:val="003B39FF"/>
    <w:rsid w:val="003B5582"/>
    <w:rsid w:val="003C55D7"/>
    <w:rsid w:val="003D0864"/>
    <w:rsid w:val="003D10FA"/>
    <w:rsid w:val="003D262F"/>
    <w:rsid w:val="003D4ABE"/>
    <w:rsid w:val="003D52D7"/>
    <w:rsid w:val="003E7AC4"/>
    <w:rsid w:val="003F15FD"/>
    <w:rsid w:val="00400B76"/>
    <w:rsid w:val="0040352A"/>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4753"/>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088C"/>
    <w:rsid w:val="005E36C9"/>
    <w:rsid w:val="005E4813"/>
    <w:rsid w:val="005E6CF7"/>
    <w:rsid w:val="005E7A81"/>
    <w:rsid w:val="005F14EA"/>
    <w:rsid w:val="005F2019"/>
    <w:rsid w:val="005F3D80"/>
    <w:rsid w:val="005F4F05"/>
    <w:rsid w:val="005F7557"/>
    <w:rsid w:val="00602311"/>
    <w:rsid w:val="006026B9"/>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36B9"/>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1ADE"/>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16CFD"/>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5718E"/>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3FEA"/>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15495"/>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4D8E"/>
    <w:rsid w:val="00E54DB0"/>
    <w:rsid w:val="00E6393F"/>
    <w:rsid w:val="00E63A55"/>
    <w:rsid w:val="00E65DD3"/>
    <w:rsid w:val="00E73838"/>
    <w:rsid w:val="00E837FB"/>
    <w:rsid w:val="00E8614F"/>
    <w:rsid w:val="00E8745F"/>
    <w:rsid w:val="00E95784"/>
    <w:rsid w:val="00E971F0"/>
    <w:rsid w:val="00EA0713"/>
    <w:rsid w:val="00EA0EB0"/>
    <w:rsid w:val="00EA2B71"/>
    <w:rsid w:val="00EB1D9D"/>
    <w:rsid w:val="00EB412E"/>
    <w:rsid w:val="00EC06AF"/>
    <w:rsid w:val="00EC40EE"/>
    <w:rsid w:val="00EC4EDA"/>
    <w:rsid w:val="00EC5E2B"/>
    <w:rsid w:val="00EC797B"/>
    <w:rsid w:val="00ED0CA2"/>
    <w:rsid w:val="00ED5D68"/>
    <w:rsid w:val="00EE0AF6"/>
    <w:rsid w:val="00EE1F61"/>
    <w:rsid w:val="00EE3B56"/>
    <w:rsid w:val="00EE416B"/>
    <w:rsid w:val="00EE4301"/>
    <w:rsid w:val="00EF2A19"/>
    <w:rsid w:val="00EF314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39E5"/>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 w:val="00FF5A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52060-35F3-4FB7-AED6-494A2CD3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d35022</cp:lastModifiedBy>
  <cp:revision>7</cp:revision>
  <cp:lastPrinted>2021-08-13T12:28:00Z</cp:lastPrinted>
  <dcterms:created xsi:type="dcterms:W3CDTF">2024-09-11T12:28:00Z</dcterms:created>
  <dcterms:modified xsi:type="dcterms:W3CDTF">2024-09-11T12:35:00Z</dcterms:modified>
</cp:coreProperties>
</file>