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545265">
      <w:r w:rsidRPr="00545265">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C67C67">
        <w:rPr>
          <w:noProof/>
          <w:lang w:eastAsia="uk-UA"/>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545265">
      <w:r w:rsidRPr="00545265">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2C716F" w:rsidRPr="001C641D" w:rsidRDefault="001C641D" w:rsidP="001C641D">
                  <w:pPr>
                    <w:jc w:val="center"/>
                    <w:rPr>
                      <w:rFonts w:ascii="e-Ukraine Bold" w:hAnsi="e-Ukraine Bold"/>
                      <w:szCs w:val="39"/>
                    </w:rPr>
                  </w:pPr>
                  <w:r w:rsidRPr="001C641D">
                    <w:rPr>
                      <w:rFonts w:ascii="e-Ukraine Bold" w:hAnsi="e-Ukraine Bold" w:cs="Times New Roman"/>
                      <w:b/>
                      <w:bCs/>
                      <w:kern w:val="36"/>
                      <w:sz w:val="42"/>
                      <w:szCs w:val="42"/>
                      <w:lang w:eastAsia="ru-RU"/>
                    </w:rPr>
                    <w:t>Податкова знижка на оренду житла внутрішньо переміщеної особи</w:t>
                  </w: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545265">
      <w:r w:rsidRPr="00545265">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EC5E2B" w:rsidRDefault="001C641D" w:rsidP="00DD030F">
                  <w:pPr>
                    <w:rPr>
                      <w:rFonts w:ascii="e-Ukraine Bold" w:hAnsi="e-Ukraine Bold" w:cs="e-Ukraine Bold"/>
                      <w:b/>
                      <w:bCs/>
                      <w:i/>
                      <w:iCs/>
                      <w:color w:val="0033CC"/>
                      <w:sz w:val="28"/>
                      <w:szCs w:val="28"/>
                    </w:rPr>
                  </w:pPr>
                  <w:proofErr w:type="spellStart"/>
                  <w:r>
                    <w:rPr>
                      <w:rFonts w:ascii="e-Ukraine Bold" w:hAnsi="e-Ukraine Bold" w:cs="e-Ukraine Bold"/>
                      <w:b/>
                      <w:bCs/>
                      <w:i/>
                      <w:iCs/>
                      <w:color w:val="0033CC"/>
                      <w:sz w:val="28"/>
                      <w:szCs w:val="28"/>
                      <w:lang w:val="ru-RU"/>
                    </w:rPr>
                    <w:t>червень</w:t>
                  </w:r>
                  <w:proofErr w:type="spellEnd"/>
                  <w:r w:rsidR="00602311" w:rsidRPr="00EC5E2B">
                    <w:rPr>
                      <w:rFonts w:ascii="e-Ukraine Bold" w:hAnsi="e-Ukraine Bold" w:cs="e-Ukraine Bold"/>
                      <w:b/>
                      <w:bCs/>
                      <w:i/>
                      <w:iCs/>
                      <w:color w:val="0033CC"/>
                      <w:sz w:val="28"/>
                      <w:szCs w:val="28"/>
                      <w:lang w:val="ru-RU"/>
                    </w:rPr>
                    <w:t xml:space="preserve"> </w:t>
                  </w:r>
                  <w:r w:rsidR="002C716F" w:rsidRPr="00EC5E2B">
                    <w:rPr>
                      <w:rFonts w:ascii="e-Ukraine Bold" w:hAnsi="e-Ukraine Bold" w:cs="e-Ukraine Bold"/>
                      <w:b/>
                      <w:bCs/>
                      <w:i/>
                      <w:iCs/>
                      <w:color w:val="0033CC"/>
                      <w:sz w:val="28"/>
                      <w:szCs w:val="28"/>
                    </w:rPr>
                    <w:t>202</w:t>
                  </w:r>
                  <w:r w:rsidR="002631B1">
                    <w:rPr>
                      <w:rFonts w:ascii="e-Ukraine Bold" w:hAnsi="e-Ukraine Bold" w:cs="e-Ukraine Bold"/>
                      <w:b/>
                      <w:bCs/>
                      <w:i/>
                      <w:iCs/>
                      <w:color w:val="0033CC"/>
                      <w:sz w:val="28"/>
                      <w:szCs w:val="28"/>
                    </w:rPr>
                    <w:t>4 року</w:t>
                  </w:r>
                </w:p>
                <w:p w:rsidR="002C716F" w:rsidRPr="00E17569" w:rsidRDefault="002C716F" w:rsidP="00E17569"/>
              </w:txbxContent>
            </v:textbox>
          </v:shape>
        </w:pict>
      </w:r>
    </w:p>
    <w:p w:rsidR="002C716F" w:rsidRDefault="00545265">
      <w:r w:rsidRPr="00545265">
        <w:rPr>
          <w:noProof/>
          <w:lang w:val="ru-RU" w:eastAsia="ru-RU"/>
        </w:rPr>
        <w:lastRenderedPageBreak/>
        <w:pict>
          <v:group id="Группа 92" o:spid="_x0000_s1030" style="position:absolute;margin-left:-15.4pt;margin-top:-13.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1C641D" w:rsidRPr="00033216" w:rsidRDefault="001C641D" w:rsidP="001C641D">
                      <w:pPr>
                        <w:spacing w:after="0" w:line="240" w:lineRule="auto"/>
                        <w:ind w:firstLine="567"/>
                        <w:jc w:val="both"/>
                        <w:rPr>
                          <w:rFonts w:ascii="e-Ukraine" w:hAnsi="e-Ukraine" w:cs="Times New Roman"/>
                          <w:sz w:val="26"/>
                          <w:szCs w:val="26"/>
                          <w:lang w:val="en-US" w:eastAsia="ru-RU"/>
                        </w:rPr>
                      </w:pPr>
                      <w:r w:rsidRPr="00033216">
                        <w:rPr>
                          <w:rFonts w:ascii="e-Ukraine" w:hAnsi="e-Ukraine" w:cs="Times New Roman"/>
                          <w:sz w:val="26"/>
                          <w:szCs w:val="26"/>
                          <w:lang w:eastAsia="ru-RU"/>
                        </w:rPr>
                        <w:t>Відділ</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комунікацій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громадськістю</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управління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інформаційної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взаємодії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Головного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управління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ДПС</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у</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Дніпропетровській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області</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території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обслуговування</w:t>
                      </w:r>
                      <w:r w:rsidRPr="00033216">
                        <w:rPr>
                          <w:rFonts w:ascii="e-Ukraine" w:hAnsi="e-Ukraine" w:cs="Times New Roman"/>
                          <w:sz w:val="26"/>
                          <w:szCs w:val="26"/>
                          <w:lang w:val="en-US" w:eastAsia="ru-RU"/>
                        </w:rPr>
                        <w:t xml:space="preserve"> – </w:t>
                      </w:r>
                      <w:r w:rsidRPr="00033216">
                        <w:rPr>
                          <w:rFonts w:ascii="e-Ukraine" w:hAnsi="e-Ukraine" w:cs="Times New Roman"/>
                          <w:sz w:val="26"/>
                          <w:szCs w:val="26"/>
                          <w:lang w:eastAsia="ru-RU"/>
                        </w:rPr>
                        <w:t>Амур</w:t>
                      </w:r>
                      <w:r w:rsidRPr="00033216">
                        <w:rPr>
                          <w:rFonts w:ascii="e-Ukraine" w:hAnsi="e-Ukraine" w:cs="Times New Roman"/>
                          <w:sz w:val="26"/>
                          <w:szCs w:val="26"/>
                          <w:lang w:val="en-US" w:eastAsia="ru-RU"/>
                        </w:rPr>
                        <w:t>-</w:t>
                      </w:r>
                      <w:r w:rsidRPr="00033216">
                        <w:rPr>
                          <w:rFonts w:ascii="e-Ukraine" w:hAnsi="e-Ukraine" w:cs="Times New Roman"/>
                          <w:sz w:val="26"/>
                          <w:szCs w:val="26"/>
                          <w:lang w:eastAsia="ru-RU"/>
                        </w:rPr>
                        <w:t>Нижньодніпровський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Індустріальний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та</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Самарський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райони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м</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Дніпра</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нагадує</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що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порядок</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та</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підстави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нарахування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податкової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знижки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регламентуються</w:t>
                      </w:r>
                      <w:r w:rsidRPr="00033216">
                        <w:rPr>
                          <w:rFonts w:ascii="e-Ukraine" w:hAnsi="e-Ukraine" w:cs="Times New Roman"/>
                          <w:sz w:val="26"/>
                          <w:szCs w:val="26"/>
                          <w:lang w:val="en-US" w:eastAsia="ru-RU"/>
                        </w:rPr>
                        <w:t xml:space="preserve"> </w:t>
                      </w:r>
                      <w:proofErr w:type="spellStart"/>
                      <w:r w:rsidRPr="00033216">
                        <w:rPr>
                          <w:rFonts w:ascii="e-Ukraine" w:hAnsi="e-Ukraine" w:cs="Times New Roman"/>
                          <w:sz w:val="26"/>
                          <w:szCs w:val="26"/>
                          <w:lang w:eastAsia="ru-RU"/>
                        </w:rPr>
                        <w:t>ст</w:t>
                      </w:r>
                      <w:proofErr w:type="spellEnd"/>
                      <w:r w:rsidRPr="00033216">
                        <w:rPr>
                          <w:rFonts w:ascii="e-Ukraine" w:hAnsi="e-Ukraine" w:cs="Times New Roman"/>
                          <w:sz w:val="26"/>
                          <w:szCs w:val="26"/>
                          <w:lang w:val="en-US" w:eastAsia="ru-RU"/>
                        </w:rPr>
                        <w:t xml:space="preserve">. </w:t>
                      </w:r>
                      <w:proofErr w:type="gramStart"/>
                      <w:r w:rsidRPr="00033216">
                        <w:rPr>
                          <w:rFonts w:ascii="e-Ukraine" w:hAnsi="e-Ukraine" w:cs="Times New Roman"/>
                          <w:sz w:val="26"/>
                          <w:szCs w:val="26"/>
                          <w:lang w:val="en-US" w:eastAsia="ru-RU"/>
                        </w:rPr>
                        <w:t xml:space="preserve">166 </w:t>
                      </w:r>
                      <w:r w:rsidRPr="00033216">
                        <w:rPr>
                          <w:rFonts w:ascii="e-Ukraine" w:hAnsi="e-Ukraine" w:cs="Times New Roman"/>
                          <w:sz w:val="26"/>
                          <w:szCs w:val="26"/>
                          <w:lang w:eastAsia="ru-RU"/>
                        </w:rPr>
                        <w:t>Податкового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кодексу</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України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далі</w:t>
                      </w:r>
                      <w:r w:rsidRPr="00033216">
                        <w:rPr>
                          <w:rFonts w:ascii="e-Ukraine" w:hAnsi="e-Ukraine" w:cs="Times New Roman"/>
                          <w:sz w:val="26"/>
                          <w:szCs w:val="26"/>
                          <w:lang w:val="en-US" w:eastAsia="ru-RU"/>
                        </w:rPr>
                        <w:t xml:space="preserve"> – </w:t>
                      </w:r>
                      <w:r w:rsidRPr="00033216">
                        <w:rPr>
                          <w:rFonts w:ascii="e-Ukraine" w:hAnsi="e-Ukraine" w:cs="Times New Roman"/>
                          <w:sz w:val="26"/>
                          <w:szCs w:val="26"/>
                          <w:lang w:eastAsia="ru-RU"/>
                        </w:rPr>
                        <w:t>ПКУ</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згідно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w:t>
                      </w:r>
                      <w:r w:rsidRPr="00033216">
                        <w:rPr>
                          <w:rFonts w:ascii="e-Ukraine" w:hAnsi="e-Ukraine" w:cs="Times New Roman"/>
                          <w:sz w:val="26"/>
                          <w:szCs w:val="26"/>
                          <w:lang w:val="en-US" w:eastAsia="ru-RU"/>
                        </w:rPr>
                        <w:t>.</w:t>
                      </w:r>
                      <w:r w:rsidRPr="00033216">
                        <w:rPr>
                          <w:rFonts w:ascii="e-Ukraine" w:hAnsi="e-Ukraine" w:cs="Times New Roman"/>
                          <w:sz w:val="26"/>
                          <w:szCs w:val="26"/>
                          <w:lang w:eastAsia="ru-RU"/>
                        </w:rPr>
                        <w:t>п</w:t>
                      </w:r>
                      <w:r w:rsidRPr="00033216">
                        <w:rPr>
                          <w:rFonts w:ascii="e-Ukraine" w:hAnsi="e-Ukraine" w:cs="Times New Roman"/>
                          <w:sz w:val="26"/>
                          <w:szCs w:val="26"/>
                          <w:lang w:val="en-US" w:eastAsia="ru-RU"/>
                        </w:rPr>
                        <w:t xml:space="preserve">. 166.1.2 </w:t>
                      </w:r>
                      <w:r w:rsidRPr="00033216">
                        <w:rPr>
                          <w:rFonts w:ascii="e-Ukraine" w:hAnsi="e-Ukraine" w:cs="Times New Roman"/>
                          <w:sz w:val="26"/>
                          <w:szCs w:val="26"/>
                          <w:lang w:eastAsia="ru-RU"/>
                        </w:rPr>
                        <w:t>п</w:t>
                      </w:r>
                      <w:r w:rsidRPr="00033216">
                        <w:rPr>
                          <w:rFonts w:ascii="e-Ukraine" w:hAnsi="e-Ukraine" w:cs="Times New Roman"/>
                          <w:sz w:val="26"/>
                          <w:szCs w:val="26"/>
                          <w:lang w:val="en-US" w:eastAsia="ru-RU"/>
                        </w:rPr>
                        <w:t xml:space="preserve">. 166.1 </w:t>
                      </w:r>
                      <w:r w:rsidRPr="00033216">
                        <w:rPr>
                          <w:rFonts w:ascii="e-Ukraine" w:hAnsi="e-Ukraine" w:cs="Times New Roman"/>
                          <w:sz w:val="26"/>
                          <w:szCs w:val="26"/>
                          <w:lang w:eastAsia="ru-RU"/>
                        </w:rPr>
                        <w:t>якої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підстави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для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нарахування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податкової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знижки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із</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зазначенням</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конкретних</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сум</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відображаються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платником</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податку</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у</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річній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податковій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декларації</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про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майновий</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стан</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і</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доходи</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далі</w:t>
                      </w:r>
                      <w:r w:rsidRPr="00033216">
                        <w:rPr>
                          <w:rFonts w:ascii="e-Ukraine" w:hAnsi="e-Ukraine" w:cs="Times New Roman"/>
                          <w:sz w:val="26"/>
                          <w:szCs w:val="26"/>
                          <w:lang w:val="en-US" w:eastAsia="ru-RU"/>
                        </w:rPr>
                        <w:t xml:space="preserve"> – </w:t>
                      </w:r>
                      <w:r w:rsidRPr="00033216">
                        <w:rPr>
                          <w:rFonts w:ascii="e-Ukraine" w:hAnsi="e-Ukraine" w:cs="Times New Roman"/>
                          <w:sz w:val="26"/>
                          <w:szCs w:val="26"/>
                          <w:lang w:eastAsia="ru-RU"/>
                        </w:rPr>
                        <w:t>Декларація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яка</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подається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w:t>
                      </w:r>
                      <w:r w:rsidRPr="00033216">
                        <w:rPr>
                          <w:rFonts w:ascii="e-Ukraine" w:hAnsi="e-Ukraine" w:cs="Times New Roman"/>
                          <w:sz w:val="26"/>
                          <w:szCs w:val="26"/>
                          <w:lang w:val="en-US" w:eastAsia="ru-RU"/>
                        </w:rPr>
                        <w:t xml:space="preserve"> 31 </w:t>
                      </w:r>
                      <w:r w:rsidRPr="00033216">
                        <w:rPr>
                          <w:rFonts w:ascii="e-Ukraine" w:hAnsi="e-Ukraine" w:cs="Times New Roman"/>
                          <w:sz w:val="26"/>
                          <w:szCs w:val="26"/>
                          <w:lang w:eastAsia="ru-RU"/>
                        </w:rPr>
                        <w:t>грудня</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включно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наступного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за</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звітним</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податкового</w:t>
                      </w:r>
                      <w:r w:rsidRPr="00033216">
                        <w:rPr>
                          <w:rFonts w:ascii="e-Ukraine" w:hAnsi="e-Ukraine" w:cs="Times New Roman"/>
                          <w:sz w:val="26"/>
                          <w:szCs w:val="26"/>
                          <w:lang w:val="en-US" w:eastAsia="ru-RU"/>
                        </w:rPr>
                        <w:t xml:space="preserve"> </w:t>
                      </w:r>
                      <w:r w:rsidRPr="00033216">
                        <w:rPr>
                          <w:rFonts w:ascii="e-Ukraine" w:hAnsi="e-Ukraine" w:cs="Times New Roman"/>
                          <w:sz w:val="26"/>
                          <w:szCs w:val="26"/>
                          <w:lang w:eastAsia="ru-RU"/>
                        </w:rPr>
                        <w:t>року</w:t>
                      </w:r>
                      <w:r w:rsidRPr="00033216">
                        <w:rPr>
                          <w:rFonts w:ascii="e-Ukraine" w:hAnsi="e-Ukraine" w:cs="Times New Roman"/>
                          <w:sz w:val="26"/>
                          <w:szCs w:val="26"/>
                          <w:lang w:val="en-US" w:eastAsia="ru-RU"/>
                        </w:rPr>
                        <w:t>.</w:t>
                      </w:r>
                      <w:proofErr w:type="gramEnd"/>
                      <w:r w:rsidRPr="00033216">
                        <w:rPr>
                          <w:rFonts w:ascii="Times New Roman" w:hAnsi="Times New Roman" w:cs="Times New Roman"/>
                          <w:sz w:val="26"/>
                          <w:szCs w:val="26"/>
                          <w:lang w:val="en-US" w:eastAsia="ru-RU"/>
                        </w:rPr>
                        <w:t> </w:t>
                      </w:r>
                      <w:r w:rsidRPr="00033216">
                        <w:rPr>
                          <w:rFonts w:ascii="e-Ukraine" w:hAnsi="e-Ukraine" w:cs="Times New Roman"/>
                          <w:sz w:val="26"/>
                          <w:szCs w:val="26"/>
                          <w:lang w:val="en-US"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w:t>
                      </w:r>
                      <w:proofErr w:type="spellStart"/>
                      <w:r w:rsidRPr="00033216">
                        <w:rPr>
                          <w:rFonts w:ascii="e-Ukraine" w:hAnsi="e-Ukraine" w:cs="Times New Roman"/>
                          <w:sz w:val="26"/>
                          <w:szCs w:val="26"/>
                          <w:lang w:eastAsia="ru-RU"/>
                        </w:rPr>
                        <w:t>отримувача</w:t>
                      </w:r>
                      <w:proofErr w:type="spellEnd"/>
                      <w:r w:rsidRPr="00033216">
                        <w:rPr>
                          <w:rFonts w:ascii="e-Ukraine" w:hAnsi="e-Ukraine" w:cs="Times New Roman"/>
                          <w:sz w:val="26"/>
                          <w:szCs w:val="26"/>
                          <w:lang w:eastAsia="ru-RU"/>
                        </w:rPr>
                        <w:t>),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roofErr w:type="spellStart"/>
                      <w:r w:rsidRPr="00033216">
                        <w:rPr>
                          <w:rFonts w:ascii="e-Ukraine" w:hAnsi="e-Ukraine" w:cs="Times New Roman"/>
                          <w:sz w:val="26"/>
                          <w:szCs w:val="26"/>
                          <w:lang w:eastAsia="ru-RU"/>
                        </w:rPr>
                        <w:t>п.п</w:t>
                      </w:r>
                      <w:proofErr w:type="spellEnd"/>
                      <w:r w:rsidRPr="00033216">
                        <w:rPr>
                          <w:rFonts w:ascii="e-Ukraine" w:hAnsi="e-Ukraine" w:cs="Times New Roman"/>
                          <w:sz w:val="26"/>
                          <w:szCs w:val="26"/>
                          <w:lang w:eastAsia="ru-RU"/>
                        </w:rPr>
                        <w:t>. 166.2.1 п. 166.2</w:t>
                      </w:r>
                      <w:r w:rsidR="009F4279">
                        <w:rPr>
                          <w:rFonts w:ascii="e-Ukraine" w:hAnsi="e-Ukraine" w:cs="Times New Roman"/>
                          <w:sz w:val="26"/>
                          <w:szCs w:val="26"/>
                          <w:lang w:eastAsia="ru-RU"/>
                        </w:rPr>
                        <w:t xml:space="preserve">   </w:t>
                      </w:r>
                      <w:r w:rsidRPr="00033216">
                        <w:rPr>
                          <w:rFonts w:ascii="e-Ukraine" w:hAnsi="e-Ukraine" w:cs="Times New Roman"/>
                          <w:sz w:val="26"/>
                          <w:szCs w:val="26"/>
                          <w:lang w:eastAsia="ru-RU"/>
                        </w:rPr>
                        <w:t xml:space="preserve"> ст. 166 ПКУ).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xml:space="preserve">Копії зазначених у </w:t>
                      </w:r>
                      <w:proofErr w:type="spellStart"/>
                      <w:r w:rsidRPr="00033216">
                        <w:rPr>
                          <w:rFonts w:ascii="e-Ukraine" w:hAnsi="e-Ukraine" w:cs="Times New Roman"/>
                          <w:sz w:val="26"/>
                          <w:szCs w:val="26"/>
                          <w:lang w:eastAsia="ru-RU"/>
                        </w:rPr>
                        <w:t>п.п</w:t>
                      </w:r>
                      <w:proofErr w:type="spellEnd"/>
                      <w:r w:rsidRPr="00033216">
                        <w:rPr>
                          <w:rFonts w:ascii="e-Ukraine" w:hAnsi="e-Ukraine" w:cs="Times New Roman"/>
                          <w:sz w:val="26"/>
                          <w:szCs w:val="26"/>
                          <w:lang w:eastAsia="ru-RU"/>
                        </w:rPr>
                        <w:t>. 166.2.1 п. 166.2 ст. 166 ПКУ документів (крім електронних розрахункових документів) надаються разом з Декларацією, а оригінали цих документів не надсилаються контролюючому органу, але підлягають зберіганню платником податку протягом строку давності, встановленого ПКУ (</w:t>
                      </w:r>
                      <w:proofErr w:type="spellStart"/>
                      <w:r w:rsidRPr="00033216">
                        <w:rPr>
                          <w:rFonts w:ascii="e-Ukraine" w:hAnsi="e-Ukraine" w:cs="Times New Roman"/>
                          <w:sz w:val="26"/>
                          <w:szCs w:val="26"/>
                          <w:lang w:eastAsia="ru-RU"/>
                        </w:rPr>
                        <w:t>п.п</w:t>
                      </w:r>
                      <w:proofErr w:type="spellEnd"/>
                      <w:r w:rsidRPr="00033216">
                        <w:rPr>
                          <w:rFonts w:ascii="e-Ukraine" w:hAnsi="e-Ukraine" w:cs="Times New Roman"/>
                          <w:sz w:val="26"/>
                          <w:szCs w:val="26"/>
                          <w:lang w:eastAsia="ru-RU"/>
                        </w:rPr>
                        <w:t>. 166.2.2 п. 166.2 ст. 166 ПКУ).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У разі якщо відповідні витрати підтверджені електронним розрахунковим документом, платник податків зазначає в Декларації лише реквізити електронного розрахункового документа.</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Для документального підтвердження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органами відповідно до цього Кодексу та міститься в інформаційних базах центрального органу виконавчої влади, що реалізує державну податкову політику</w:t>
                      </w:r>
                      <w:r w:rsidR="009F4279">
                        <w:rPr>
                          <w:rFonts w:ascii="e-Ukraine" w:hAnsi="e-Ukraine" w:cs="Times New Roman"/>
                          <w:sz w:val="26"/>
                          <w:szCs w:val="26"/>
                          <w:lang w:eastAsia="ru-RU"/>
                        </w:rPr>
                        <w:t xml:space="preserve">           </w:t>
                      </w:r>
                      <w:r w:rsidRPr="00033216">
                        <w:rPr>
                          <w:rFonts w:ascii="e-Ukraine" w:hAnsi="e-Ukraine" w:cs="Times New Roman"/>
                          <w:sz w:val="26"/>
                          <w:szCs w:val="26"/>
                          <w:lang w:eastAsia="ru-RU"/>
                        </w:rPr>
                        <w:t xml:space="preserve"> (</w:t>
                      </w:r>
                      <w:proofErr w:type="spellStart"/>
                      <w:r w:rsidRPr="00033216">
                        <w:rPr>
                          <w:rFonts w:ascii="e-Ukraine" w:hAnsi="e-Ukraine" w:cs="Times New Roman"/>
                          <w:sz w:val="26"/>
                          <w:szCs w:val="26"/>
                          <w:lang w:eastAsia="ru-RU"/>
                        </w:rPr>
                        <w:t>п.п</w:t>
                      </w:r>
                      <w:proofErr w:type="spellEnd"/>
                      <w:r w:rsidRPr="00033216">
                        <w:rPr>
                          <w:rFonts w:ascii="e-Ukraine" w:hAnsi="e-Ukraine" w:cs="Times New Roman"/>
                          <w:sz w:val="26"/>
                          <w:szCs w:val="26"/>
                          <w:lang w:eastAsia="ru-RU"/>
                        </w:rPr>
                        <w:t>. 166.2.3 п. 166.2 ст. 166 ПКУ).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Відповідно до ст. 4 Закону України від</w:t>
                      </w:r>
                      <w:r w:rsidR="009F4279">
                        <w:rPr>
                          <w:rFonts w:ascii="e-Ukraine" w:hAnsi="e-Ukraine" w:cs="Times New Roman"/>
                          <w:sz w:val="26"/>
                          <w:szCs w:val="26"/>
                          <w:lang w:eastAsia="ru-RU"/>
                        </w:rPr>
                        <w:t xml:space="preserve">        </w:t>
                      </w:r>
                      <w:r w:rsidRPr="00033216">
                        <w:rPr>
                          <w:rFonts w:ascii="e-Ukraine" w:hAnsi="e-Ukraine" w:cs="Times New Roman"/>
                          <w:sz w:val="26"/>
                          <w:szCs w:val="26"/>
                          <w:lang w:eastAsia="ru-RU"/>
                        </w:rPr>
                        <w:t xml:space="preserve"> 20 жовтня 2014 року № 1706-VII «Про забезпечення прав і свобод внутрішньо переміщених осіб» із змінами та доповненнями факт внутрішнього переміщення підтверджується довідкою про взяття на облік внутрішньо переміщеної особи.</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При цьому, такі особи зобов’язані інформувати контролюючі органи про зміну даних, зокрема, щодо адреси реєстрації місця проживання відповідно паспортного документа та адреси фактичного місця проживання/перебування відповідно інформації, зазначеної в довідці, шляхом подання заяви про внесення змін до Державного реєстру фізичних осіб – платників податків за формою № 5ДР.</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Таким чином, платник податків – внутрішньо переміщена особа подає Декларацію до контролюючого органу, до якого подано зазначені вище документи та в якому перебуває на обліку (п. 49.1 ст. 49 ПКУ).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Основні положення, що регулюють правовідносини за договором найму (оренди) житла, встановлені у главі 59 «Найм (оренда) житла» Цивільного кодексу України від 16 січня 2003 року № 435-IV із змінами та доповненнями (далі – ЦКУ). Вимоги глави 59 ЦКУ стосуються договорів найму (оренди) приміщень, які мають чітко визначене цільове призначення – для проживання.</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Згідно з ст. 810 глави 59 ЦКУ за договором найму (оренди) житла одна сторона – власник житла передає або зобов’язується передати другій стороні житло для проживання у ньому на певний строк за плату.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Розмір плати за найм житла встановлюється у договорі найму житла (п. 1 ст. 820 ЦКУ).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Статтею 811 глави 59 ЦКУ визначено, що договір найму житла укладається у письмовій формі.</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Наявність саме цивільно-правового договору є необхідною умовою для того, щоб відповідна операція вважалася орендною операцією для підтвердження здачі житла в оренду.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xml:space="preserve">Зважаючи на те, що </w:t>
                      </w:r>
                      <w:proofErr w:type="spellStart"/>
                      <w:r w:rsidRPr="00033216">
                        <w:rPr>
                          <w:rFonts w:ascii="e-Ukraine" w:hAnsi="e-Ukraine" w:cs="Times New Roman"/>
                          <w:sz w:val="26"/>
                          <w:szCs w:val="26"/>
                          <w:lang w:eastAsia="ru-RU"/>
                        </w:rPr>
                        <w:t>п.п</w:t>
                      </w:r>
                      <w:proofErr w:type="spellEnd"/>
                      <w:r w:rsidRPr="00033216">
                        <w:rPr>
                          <w:rFonts w:ascii="e-Ukraine" w:hAnsi="e-Ukraine" w:cs="Times New Roman"/>
                          <w:sz w:val="26"/>
                          <w:szCs w:val="26"/>
                          <w:lang w:eastAsia="ru-RU"/>
                        </w:rPr>
                        <w:t>. 166.3.9 п. 166.3</w:t>
                      </w:r>
                      <w:r w:rsidR="009F4279">
                        <w:rPr>
                          <w:rFonts w:ascii="e-Ukraine" w:hAnsi="e-Ukraine" w:cs="Times New Roman"/>
                          <w:sz w:val="26"/>
                          <w:szCs w:val="26"/>
                          <w:lang w:eastAsia="ru-RU"/>
                        </w:rPr>
                        <w:t xml:space="preserve">       </w:t>
                      </w:r>
                      <w:r w:rsidRPr="00033216">
                        <w:rPr>
                          <w:rFonts w:ascii="e-Ukraine" w:hAnsi="e-Ukraine" w:cs="Times New Roman"/>
                          <w:sz w:val="26"/>
                          <w:szCs w:val="26"/>
                          <w:lang w:eastAsia="ru-RU"/>
                        </w:rPr>
                        <w:t xml:space="preserve"> ст. 166 ПКУ визначено умови для отримання податкової знижки, то платник має подати заяву в довільній формі, в якій зазначається, що він та/або члени його сім’ї першого ступеня споріднення:</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не мають у власності придатної для проживання житлової нерухомості, розташованої поза межами тимчасово окупованих Російською Федерацією територій України;</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не отримують передбачених законодавством України бюджетних виплат для покриття витрат на проживання.</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З метою перевірки зазначеної інформації у заяві мають міститись відомості, які дозволяють ідентифікувати членів сім’ї (прізвище, ім’я, по батькові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Членами сім’ї фізичної особи першого ступеня споріднення вважаються її батьки, її чоловік або дружина, діти такої фізичної особи, у тому числі усиновлені (</w:t>
                      </w:r>
                      <w:proofErr w:type="spellStart"/>
                      <w:r w:rsidRPr="00033216">
                        <w:rPr>
                          <w:rFonts w:ascii="e-Ukraine" w:hAnsi="e-Ukraine" w:cs="Times New Roman"/>
                          <w:sz w:val="26"/>
                          <w:szCs w:val="26"/>
                          <w:lang w:eastAsia="ru-RU"/>
                        </w:rPr>
                        <w:t>п.п</w:t>
                      </w:r>
                      <w:proofErr w:type="spellEnd"/>
                      <w:r w:rsidRPr="00033216">
                        <w:rPr>
                          <w:rFonts w:ascii="e-Ukraine" w:hAnsi="e-Ukraine" w:cs="Times New Roman"/>
                          <w:sz w:val="26"/>
                          <w:szCs w:val="26"/>
                          <w:lang w:eastAsia="ru-RU"/>
                        </w:rPr>
                        <w:t>. 14.1.263 п. 14.1 ст. 14 ПКУ).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Таким чином, для отримання податкової знижки на суму коштів, сплачених у вигляді орендної плати за договором оренди житла (квартири, будинку), платник податку – внутрішньо переміщена особа має подати до контролюючого органу, в якому перебуває на обліку:</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Декларацію;</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копію довідки про взяття на облік внутрішньо переміщеної особи;</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копію договору оренди житла;</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копії платіжних та розрахункових документів, що підтверджують факт сплати (крім електронних розрахункових документів);</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e-Ukraine" w:hAnsi="e-Ukraine" w:cs="Times New Roman"/>
                          <w:sz w:val="26"/>
                          <w:szCs w:val="26"/>
                          <w:lang w:eastAsia="ru-RU"/>
                        </w:rPr>
                        <w:t>- заяву, в якій зазначені відомості щодо відсутності умов, які не дають право на отримання податкової знижки згідно з нормами законодавства.</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1C641D" w:rsidRPr="00033216" w:rsidRDefault="001C641D" w:rsidP="001C641D">
                      <w:pPr>
                        <w:spacing w:after="0" w:line="240" w:lineRule="auto"/>
                        <w:ind w:firstLine="567"/>
                        <w:jc w:val="both"/>
                        <w:rPr>
                          <w:rFonts w:ascii="e-Ukraine" w:hAnsi="e-Ukraine" w:cs="Times New Roman"/>
                          <w:sz w:val="26"/>
                          <w:szCs w:val="26"/>
                          <w:lang w:eastAsia="ru-RU"/>
                        </w:rPr>
                      </w:pP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Додатковими документами, які підтверджують відсутність умов, що не дають права на отримання податкової знижки може бути Витяг з Державного реєстру речових прав на нерухоме майно, інформація від структурних підрозділів з питань соціального захисту населення обласних, Київської міської райдержадміністрацій щодо адресної допомоги для покриття витрат на проживання, тощо.</w:t>
                      </w:r>
                      <w:r w:rsidRPr="00033216">
                        <w:rPr>
                          <w:rFonts w:ascii="Times New Roman" w:hAnsi="Times New Roman" w:cs="Times New Roman"/>
                          <w:sz w:val="26"/>
                          <w:szCs w:val="26"/>
                          <w:lang w:eastAsia="ru-RU"/>
                        </w:rPr>
                        <w:t> </w:t>
                      </w:r>
                      <w:r w:rsidRPr="00033216">
                        <w:rPr>
                          <w:rFonts w:ascii="e-Ukraine" w:hAnsi="e-Ukraine" w:cs="Times New Roman"/>
                          <w:sz w:val="26"/>
                          <w:szCs w:val="26"/>
                          <w:lang w:eastAsia="ru-RU"/>
                        </w:rPr>
                        <w:t xml:space="preserve"> </w:t>
                      </w:r>
                    </w:p>
                    <w:p w:rsidR="002C716F" w:rsidRPr="001C641D" w:rsidRDefault="002C716F" w:rsidP="001C641D">
                      <w:pPr>
                        <w:rPr>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C67C67">
        <w:rPr>
          <w:noProof/>
          <w:lang w:eastAsia="uk-UA"/>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C67C67">
        <w:rPr>
          <w:noProof/>
          <w:lang w:eastAsia="uk-UA"/>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rsidP="00311D09">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C67C67">
      <w:r>
        <w:rPr>
          <w:noProof/>
          <w:lang w:eastAsia="uk-UA"/>
        </w:rPr>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eastAsia="uk-UA"/>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545265" w:rsidRPr="00545265">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rsidP="00C67C67">
      <w:pPr>
        <w:jc w:val="right"/>
      </w:pPr>
    </w:p>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545265">
      <w:r w:rsidRPr="00545265">
        <w:rPr>
          <w:noProof/>
          <w:lang w:val="ru-RU" w:eastAsia="ru-RU"/>
        </w:rPr>
        <w:pict>
          <v:group id="Группа 93" o:spid="_x0000_s1050" style="position:absolute;margin-left:-18pt;margin-top:-497.7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C67C67" w:rsidP="00C67C67">
      <w:pPr>
        <w:tabs>
          <w:tab w:val="left" w:pos="14471"/>
        </w:tabs>
      </w:pPr>
      <w:r>
        <w:tab/>
      </w:r>
    </w:p>
    <w:p w:rsidR="002C716F" w:rsidRPr="0088080D" w:rsidRDefault="00C67C67">
      <w:r>
        <w:rPr>
          <w:noProof/>
          <w:lang w:eastAsia="uk-UA"/>
        </w:rPr>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eastAsia="uk-UA"/>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545265" w:rsidRPr="00545265">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rsidP="000C5AF4">
      <w:pPr>
        <w:jc w:val="right"/>
      </w:pP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C67C67">
      <w:pPr>
        <w:jc w:val="right"/>
      </w:pPr>
    </w:p>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00"/>
    <w:family w:val="modern"/>
    <w:notTrueType/>
    <w:pitch w:val="variable"/>
    <w:sig w:usb0="00000207" w:usb1="00000001" w:usb2="00000000" w:usb3="00000000" w:csb0="00000097" w:csb1="00000000"/>
  </w:font>
  <w:font w:name="e-Ukraine Bold">
    <w:altName w:val="Arial"/>
    <w:panose1 w:val="00000800000000000000"/>
    <w:charset w:val="00"/>
    <w:family w:val="modern"/>
    <w:notTrueType/>
    <w:pitch w:val="variable"/>
    <w:sig w:usb0="00000207" w:usb1="00000001" w:usb2="00000000" w:usb3="00000000" w:csb0="00000097"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savePreviewPicture/>
  <w:doNotValidateAgainstSchema/>
  <w:doNotDemarcateInvalidXml/>
  <w:compat/>
  <w:rsids>
    <w:rsidRoot w:val="00AB302E"/>
    <w:rsid w:val="00002837"/>
    <w:rsid w:val="0000402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1301"/>
    <w:rsid w:val="00092687"/>
    <w:rsid w:val="00092BBA"/>
    <w:rsid w:val="00093292"/>
    <w:rsid w:val="00094082"/>
    <w:rsid w:val="000A16E2"/>
    <w:rsid w:val="000A5719"/>
    <w:rsid w:val="000B18C9"/>
    <w:rsid w:val="000B6BBB"/>
    <w:rsid w:val="000C38AD"/>
    <w:rsid w:val="000C584A"/>
    <w:rsid w:val="000C59BA"/>
    <w:rsid w:val="000C5AF4"/>
    <w:rsid w:val="000C7D9E"/>
    <w:rsid w:val="000D2BE7"/>
    <w:rsid w:val="000D388C"/>
    <w:rsid w:val="000D4E62"/>
    <w:rsid w:val="000E4D69"/>
    <w:rsid w:val="000E5EBD"/>
    <w:rsid w:val="000E7558"/>
    <w:rsid w:val="000E7A8B"/>
    <w:rsid w:val="000F1E75"/>
    <w:rsid w:val="000F626F"/>
    <w:rsid w:val="001029F3"/>
    <w:rsid w:val="00107608"/>
    <w:rsid w:val="001102DE"/>
    <w:rsid w:val="00111DAA"/>
    <w:rsid w:val="001124B4"/>
    <w:rsid w:val="0011267A"/>
    <w:rsid w:val="001166F4"/>
    <w:rsid w:val="0011782B"/>
    <w:rsid w:val="00117EC8"/>
    <w:rsid w:val="00122CC9"/>
    <w:rsid w:val="0012352E"/>
    <w:rsid w:val="001243F0"/>
    <w:rsid w:val="00132CE1"/>
    <w:rsid w:val="00134E38"/>
    <w:rsid w:val="001350CE"/>
    <w:rsid w:val="00145691"/>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91E2A"/>
    <w:rsid w:val="00193239"/>
    <w:rsid w:val="001A288F"/>
    <w:rsid w:val="001A503D"/>
    <w:rsid w:val="001A6A89"/>
    <w:rsid w:val="001B69D4"/>
    <w:rsid w:val="001C1D0B"/>
    <w:rsid w:val="001C3AD4"/>
    <w:rsid w:val="001C4586"/>
    <w:rsid w:val="001C4E02"/>
    <w:rsid w:val="001C569D"/>
    <w:rsid w:val="001C62B4"/>
    <w:rsid w:val="001C641D"/>
    <w:rsid w:val="001D1907"/>
    <w:rsid w:val="001D1D58"/>
    <w:rsid w:val="001D530C"/>
    <w:rsid w:val="001E0EA9"/>
    <w:rsid w:val="001E0F13"/>
    <w:rsid w:val="001E2282"/>
    <w:rsid w:val="001E73CA"/>
    <w:rsid w:val="001E7568"/>
    <w:rsid w:val="001E760F"/>
    <w:rsid w:val="001F41E7"/>
    <w:rsid w:val="001F76C7"/>
    <w:rsid w:val="002004AE"/>
    <w:rsid w:val="00202083"/>
    <w:rsid w:val="00205D65"/>
    <w:rsid w:val="0021539E"/>
    <w:rsid w:val="00215A69"/>
    <w:rsid w:val="00224859"/>
    <w:rsid w:val="00233109"/>
    <w:rsid w:val="00237802"/>
    <w:rsid w:val="0024199B"/>
    <w:rsid w:val="002425C8"/>
    <w:rsid w:val="00243CAA"/>
    <w:rsid w:val="0025400C"/>
    <w:rsid w:val="002556DA"/>
    <w:rsid w:val="002572F6"/>
    <w:rsid w:val="002605C8"/>
    <w:rsid w:val="00261934"/>
    <w:rsid w:val="002631B1"/>
    <w:rsid w:val="00272EA8"/>
    <w:rsid w:val="00272FAD"/>
    <w:rsid w:val="00280E6C"/>
    <w:rsid w:val="002819D6"/>
    <w:rsid w:val="00282F56"/>
    <w:rsid w:val="00284832"/>
    <w:rsid w:val="00285722"/>
    <w:rsid w:val="00297C4E"/>
    <w:rsid w:val="002A3F45"/>
    <w:rsid w:val="002A5B2B"/>
    <w:rsid w:val="002A70C8"/>
    <w:rsid w:val="002B0340"/>
    <w:rsid w:val="002B1A72"/>
    <w:rsid w:val="002B4393"/>
    <w:rsid w:val="002B621D"/>
    <w:rsid w:val="002B76BA"/>
    <w:rsid w:val="002C2064"/>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1D09"/>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66E41"/>
    <w:rsid w:val="003675BE"/>
    <w:rsid w:val="003724C3"/>
    <w:rsid w:val="003728DD"/>
    <w:rsid w:val="00373183"/>
    <w:rsid w:val="0037512D"/>
    <w:rsid w:val="0037551C"/>
    <w:rsid w:val="00377F14"/>
    <w:rsid w:val="00380DD1"/>
    <w:rsid w:val="00385DF1"/>
    <w:rsid w:val="003907FB"/>
    <w:rsid w:val="00391327"/>
    <w:rsid w:val="00394C95"/>
    <w:rsid w:val="00394F49"/>
    <w:rsid w:val="00396A67"/>
    <w:rsid w:val="00397162"/>
    <w:rsid w:val="003A1CC3"/>
    <w:rsid w:val="003A2D43"/>
    <w:rsid w:val="003A597C"/>
    <w:rsid w:val="003B3967"/>
    <w:rsid w:val="003B39FF"/>
    <w:rsid w:val="003B5582"/>
    <w:rsid w:val="003C55D7"/>
    <w:rsid w:val="003D0864"/>
    <w:rsid w:val="003D10FA"/>
    <w:rsid w:val="003D262F"/>
    <w:rsid w:val="003D4ABE"/>
    <w:rsid w:val="003D52D7"/>
    <w:rsid w:val="003E7AC4"/>
    <w:rsid w:val="003F15FD"/>
    <w:rsid w:val="003F2717"/>
    <w:rsid w:val="00400B76"/>
    <w:rsid w:val="004049A4"/>
    <w:rsid w:val="00411F3D"/>
    <w:rsid w:val="0041279B"/>
    <w:rsid w:val="00413F2C"/>
    <w:rsid w:val="004144AF"/>
    <w:rsid w:val="00415294"/>
    <w:rsid w:val="00415595"/>
    <w:rsid w:val="00415C39"/>
    <w:rsid w:val="0042235E"/>
    <w:rsid w:val="00423AB9"/>
    <w:rsid w:val="0042693C"/>
    <w:rsid w:val="004275AB"/>
    <w:rsid w:val="004314D6"/>
    <w:rsid w:val="00432A84"/>
    <w:rsid w:val="00433F53"/>
    <w:rsid w:val="00436B1D"/>
    <w:rsid w:val="00451282"/>
    <w:rsid w:val="004523A6"/>
    <w:rsid w:val="00456280"/>
    <w:rsid w:val="00462C01"/>
    <w:rsid w:val="00466C69"/>
    <w:rsid w:val="00471815"/>
    <w:rsid w:val="004725AB"/>
    <w:rsid w:val="00474170"/>
    <w:rsid w:val="0047722C"/>
    <w:rsid w:val="00480081"/>
    <w:rsid w:val="004810E8"/>
    <w:rsid w:val="00481551"/>
    <w:rsid w:val="00485664"/>
    <w:rsid w:val="0049392D"/>
    <w:rsid w:val="004968B0"/>
    <w:rsid w:val="004A123D"/>
    <w:rsid w:val="004A1388"/>
    <w:rsid w:val="004A2F3B"/>
    <w:rsid w:val="004A5C90"/>
    <w:rsid w:val="004B0FCE"/>
    <w:rsid w:val="004B1CE5"/>
    <w:rsid w:val="004C1187"/>
    <w:rsid w:val="004C1714"/>
    <w:rsid w:val="004C3977"/>
    <w:rsid w:val="004C6570"/>
    <w:rsid w:val="004C7D16"/>
    <w:rsid w:val="004C7E9C"/>
    <w:rsid w:val="004D6CF1"/>
    <w:rsid w:val="004E042D"/>
    <w:rsid w:val="004E4A76"/>
    <w:rsid w:val="004E586F"/>
    <w:rsid w:val="004E58B8"/>
    <w:rsid w:val="00501DE7"/>
    <w:rsid w:val="00502591"/>
    <w:rsid w:val="00503B48"/>
    <w:rsid w:val="005060E9"/>
    <w:rsid w:val="0051316D"/>
    <w:rsid w:val="0052185F"/>
    <w:rsid w:val="00523152"/>
    <w:rsid w:val="0053006D"/>
    <w:rsid w:val="005323D8"/>
    <w:rsid w:val="005406FB"/>
    <w:rsid w:val="005415EC"/>
    <w:rsid w:val="00541EB2"/>
    <w:rsid w:val="00545265"/>
    <w:rsid w:val="00552F1F"/>
    <w:rsid w:val="00553703"/>
    <w:rsid w:val="0055476E"/>
    <w:rsid w:val="00554C4A"/>
    <w:rsid w:val="005550AD"/>
    <w:rsid w:val="00563CB0"/>
    <w:rsid w:val="00570BDF"/>
    <w:rsid w:val="005722C0"/>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135"/>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311"/>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AE5"/>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9C3"/>
    <w:rsid w:val="006A2F44"/>
    <w:rsid w:val="006A4920"/>
    <w:rsid w:val="006A5426"/>
    <w:rsid w:val="006A5BCD"/>
    <w:rsid w:val="006A64CE"/>
    <w:rsid w:val="006B0BF2"/>
    <w:rsid w:val="006B1603"/>
    <w:rsid w:val="006B1D2B"/>
    <w:rsid w:val="006B2C9C"/>
    <w:rsid w:val="006B3A4D"/>
    <w:rsid w:val="006B4569"/>
    <w:rsid w:val="006C0696"/>
    <w:rsid w:val="006C279B"/>
    <w:rsid w:val="006C2867"/>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2AC2"/>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96901"/>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6431"/>
    <w:rsid w:val="007F7539"/>
    <w:rsid w:val="00801363"/>
    <w:rsid w:val="0080422A"/>
    <w:rsid w:val="00814A1C"/>
    <w:rsid w:val="0082406B"/>
    <w:rsid w:val="008255BF"/>
    <w:rsid w:val="0082739A"/>
    <w:rsid w:val="00827889"/>
    <w:rsid w:val="008278C1"/>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D6D1C"/>
    <w:rsid w:val="008D7DB9"/>
    <w:rsid w:val="008E0540"/>
    <w:rsid w:val="008E43E1"/>
    <w:rsid w:val="008E64A0"/>
    <w:rsid w:val="008E6BD5"/>
    <w:rsid w:val="008E79B0"/>
    <w:rsid w:val="008F01AD"/>
    <w:rsid w:val="008F091E"/>
    <w:rsid w:val="008F31DA"/>
    <w:rsid w:val="008F53FB"/>
    <w:rsid w:val="00906047"/>
    <w:rsid w:val="00907A4B"/>
    <w:rsid w:val="009104B6"/>
    <w:rsid w:val="00910FDC"/>
    <w:rsid w:val="00912FC2"/>
    <w:rsid w:val="009150FC"/>
    <w:rsid w:val="009168B4"/>
    <w:rsid w:val="00920F69"/>
    <w:rsid w:val="009218D8"/>
    <w:rsid w:val="00921C3A"/>
    <w:rsid w:val="00931BCA"/>
    <w:rsid w:val="009323FD"/>
    <w:rsid w:val="00934815"/>
    <w:rsid w:val="009360BC"/>
    <w:rsid w:val="00937992"/>
    <w:rsid w:val="00940FD6"/>
    <w:rsid w:val="00943E3B"/>
    <w:rsid w:val="00943F0B"/>
    <w:rsid w:val="00944194"/>
    <w:rsid w:val="00945CDD"/>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B47CF"/>
    <w:rsid w:val="009C05E7"/>
    <w:rsid w:val="009C73B1"/>
    <w:rsid w:val="009D04F2"/>
    <w:rsid w:val="009D06E7"/>
    <w:rsid w:val="009D3104"/>
    <w:rsid w:val="009D3DDB"/>
    <w:rsid w:val="009E350B"/>
    <w:rsid w:val="009E4E1A"/>
    <w:rsid w:val="009E6DE5"/>
    <w:rsid w:val="009F3D71"/>
    <w:rsid w:val="009F4279"/>
    <w:rsid w:val="009F568D"/>
    <w:rsid w:val="009F6274"/>
    <w:rsid w:val="00A05D77"/>
    <w:rsid w:val="00A108D2"/>
    <w:rsid w:val="00A14E8F"/>
    <w:rsid w:val="00A2261B"/>
    <w:rsid w:val="00A23170"/>
    <w:rsid w:val="00A23C5A"/>
    <w:rsid w:val="00A25956"/>
    <w:rsid w:val="00A3185B"/>
    <w:rsid w:val="00A31A60"/>
    <w:rsid w:val="00A40C24"/>
    <w:rsid w:val="00A4204E"/>
    <w:rsid w:val="00A44992"/>
    <w:rsid w:val="00A50F20"/>
    <w:rsid w:val="00A56A0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A80"/>
    <w:rsid w:val="00AC7D1B"/>
    <w:rsid w:val="00AD0792"/>
    <w:rsid w:val="00AD08EC"/>
    <w:rsid w:val="00AD0EF2"/>
    <w:rsid w:val="00AD34CC"/>
    <w:rsid w:val="00AD6DFD"/>
    <w:rsid w:val="00AD75D2"/>
    <w:rsid w:val="00AE19BE"/>
    <w:rsid w:val="00AE2B36"/>
    <w:rsid w:val="00AE35A2"/>
    <w:rsid w:val="00AE3ADB"/>
    <w:rsid w:val="00AE6E35"/>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27686"/>
    <w:rsid w:val="00B31800"/>
    <w:rsid w:val="00B32E35"/>
    <w:rsid w:val="00B33521"/>
    <w:rsid w:val="00B3532C"/>
    <w:rsid w:val="00B50E4D"/>
    <w:rsid w:val="00B5288C"/>
    <w:rsid w:val="00B52E0D"/>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5A22"/>
    <w:rsid w:val="00BA648D"/>
    <w:rsid w:val="00BA6E63"/>
    <w:rsid w:val="00BB15D2"/>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14CFB"/>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67"/>
    <w:rsid w:val="00C67CB6"/>
    <w:rsid w:val="00C71D7A"/>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E6B5F"/>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BBE"/>
    <w:rsid w:val="00D41797"/>
    <w:rsid w:val="00D43C82"/>
    <w:rsid w:val="00D43FB6"/>
    <w:rsid w:val="00D44AC4"/>
    <w:rsid w:val="00D4547C"/>
    <w:rsid w:val="00D466F6"/>
    <w:rsid w:val="00D4699E"/>
    <w:rsid w:val="00D50D41"/>
    <w:rsid w:val="00D52AC2"/>
    <w:rsid w:val="00D537DC"/>
    <w:rsid w:val="00D552EA"/>
    <w:rsid w:val="00D57529"/>
    <w:rsid w:val="00D57809"/>
    <w:rsid w:val="00D67122"/>
    <w:rsid w:val="00D75B8A"/>
    <w:rsid w:val="00D773BD"/>
    <w:rsid w:val="00D77432"/>
    <w:rsid w:val="00D779E2"/>
    <w:rsid w:val="00D77A77"/>
    <w:rsid w:val="00D81191"/>
    <w:rsid w:val="00D951BB"/>
    <w:rsid w:val="00D95C66"/>
    <w:rsid w:val="00D95CF2"/>
    <w:rsid w:val="00D96DAD"/>
    <w:rsid w:val="00DA4B4C"/>
    <w:rsid w:val="00DA7FA6"/>
    <w:rsid w:val="00DB70A9"/>
    <w:rsid w:val="00DC2F03"/>
    <w:rsid w:val="00DC4F58"/>
    <w:rsid w:val="00DC6A8C"/>
    <w:rsid w:val="00DC6BDF"/>
    <w:rsid w:val="00DD0222"/>
    <w:rsid w:val="00DD030F"/>
    <w:rsid w:val="00DD2057"/>
    <w:rsid w:val="00DD231B"/>
    <w:rsid w:val="00DD6C8F"/>
    <w:rsid w:val="00DD7D10"/>
    <w:rsid w:val="00DE01B7"/>
    <w:rsid w:val="00DE0AB6"/>
    <w:rsid w:val="00DE3675"/>
    <w:rsid w:val="00DE3F51"/>
    <w:rsid w:val="00DF31B7"/>
    <w:rsid w:val="00DF5FA7"/>
    <w:rsid w:val="00E00D7B"/>
    <w:rsid w:val="00E01CC7"/>
    <w:rsid w:val="00E07050"/>
    <w:rsid w:val="00E119A4"/>
    <w:rsid w:val="00E14134"/>
    <w:rsid w:val="00E15A3D"/>
    <w:rsid w:val="00E17569"/>
    <w:rsid w:val="00E22840"/>
    <w:rsid w:val="00E26DE8"/>
    <w:rsid w:val="00E27D63"/>
    <w:rsid w:val="00E35D68"/>
    <w:rsid w:val="00E37571"/>
    <w:rsid w:val="00E44D8E"/>
    <w:rsid w:val="00E54DB0"/>
    <w:rsid w:val="00E6393F"/>
    <w:rsid w:val="00E63A55"/>
    <w:rsid w:val="00E65DD3"/>
    <w:rsid w:val="00E73838"/>
    <w:rsid w:val="00E837FB"/>
    <w:rsid w:val="00E8614F"/>
    <w:rsid w:val="00E8745F"/>
    <w:rsid w:val="00E95784"/>
    <w:rsid w:val="00E971F0"/>
    <w:rsid w:val="00EA0713"/>
    <w:rsid w:val="00EA0EB0"/>
    <w:rsid w:val="00EA2B71"/>
    <w:rsid w:val="00EB412E"/>
    <w:rsid w:val="00EC06AF"/>
    <w:rsid w:val="00EC40EE"/>
    <w:rsid w:val="00EC5E2B"/>
    <w:rsid w:val="00EC797B"/>
    <w:rsid w:val="00ED0CA2"/>
    <w:rsid w:val="00ED5D68"/>
    <w:rsid w:val="00EE0AF6"/>
    <w:rsid w:val="00EE1F61"/>
    <w:rsid w:val="00EE3B56"/>
    <w:rsid w:val="00EE416B"/>
    <w:rsid w:val="00EE4301"/>
    <w:rsid w:val="00EF2A19"/>
    <w:rsid w:val="00F021CD"/>
    <w:rsid w:val="00F106D7"/>
    <w:rsid w:val="00F1420F"/>
    <w:rsid w:val="00F15459"/>
    <w:rsid w:val="00F15E6C"/>
    <w:rsid w:val="00F174FD"/>
    <w:rsid w:val="00F1796A"/>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353B"/>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C6FA9"/>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D868-23A1-4146-AE40-B761563A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59</Words>
  <Characters>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d35022</cp:lastModifiedBy>
  <cp:revision>40</cp:revision>
  <cp:lastPrinted>2021-08-13T12:28:00Z</cp:lastPrinted>
  <dcterms:created xsi:type="dcterms:W3CDTF">2022-07-29T12:11:00Z</dcterms:created>
  <dcterms:modified xsi:type="dcterms:W3CDTF">2024-06-21T06:53:00Z</dcterms:modified>
</cp:coreProperties>
</file>