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D547E5">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D547E5">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BC54C6" w:rsidRPr="00BC54C6" w:rsidRDefault="00BC54C6" w:rsidP="002324FE">
                  <w:pPr>
                    <w:spacing w:before="100" w:beforeAutospacing="1" w:after="100" w:afterAutospacing="1" w:line="240" w:lineRule="auto"/>
                    <w:outlineLvl w:val="0"/>
                    <w:rPr>
                      <w:rFonts w:ascii="e-Ukraine Bold" w:hAnsi="e-Ukraine Bold" w:cs="Times New Roman"/>
                      <w:b/>
                      <w:bCs/>
                      <w:kern w:val="36"/>
                      <w:sz w:val="28"/>
                      <w:szCs w:val="28"/>
                      <w:lang w:eastAsia="ru-RU"/>
                    </w:rPr>
                  </w:pPr>
                  <w:r w:rsidRPr="00BC54C6">
                    <w:rPr>
                      <w:rFonts w:ascii="e-Ukraine Bold" w:hAnsi="e-Ukraine Bold" w:cs="Times New Roman"/>
                      <w:b/>
                      <w:bCs/>
                      <w:kern w:val="36"/>
                      <w:sz w:val="28"/>
                      <w:szCs w:val="28"/>
                      <w:lang w:val="ru-RU" w:eastAsia="ru-RU"/>
                    </w:rPr>
                    <w:t>Про в</w:t>
                  </w:r>
                  <w:proofErr w:type="spellStart"/>
                  <w:r w:rsidRPr="00BC54C6">
                    <w:rPr>
                      <w:rFonts w:ascii="e-Ukraine Bold" w:hAnsi="e-Ukraine Bold" w:cs="Times New Roman"/>
                      <w:b/>
                      <w:bCs/>
                      <w:kern w:val="36"/>
                      <w:sz w:val="28"/>
                      <w:szCs w:val="28"/>
                      <w:lang w:eastAsia="ru-RU"/>
                    </w:rPr>
                    <w:t>ідображення</w:t>
                  </w:r>
                  <w:proofErr w:type="spellEnd"/>
                  <w:r w:rsidRPr="00BC54C6">
                    <w:rPr>
                      <w:rFonts w:ascii="e-Ukraine Bold" w:hAnsi="e-Ukraine Bold" w:cs="Times New Roman"/>
                      <w:b/>
                      <w:bCs/>
                      <w:kern w:val="36"/>
                      <w:sz w:val="28"/>
                      <w:szCs w:val="28"/>
                      <w:lang w:eastAsia="ru-RU"/>
                    </w:rPr>
                    <w:t xml:space="preserve"> у податковій декларації про майновий стан і доходи МПЗ у </w:t>
                  </w:r>
                  <w:proofErr w:type="spellStart"/>
                  <w:r w:rsidRPr="00BC54C6">
                    <w:rPr>
                      <w:rFonts w:ascii="e-Ukraine Bold" w:hAnsi="e-Ukraine Bold" w:cs="Times New Roman"/>
                      <w:b/>
                      <w:bCs/>
                      <w:kern w:val="36"/>
                      <w:sz w:val="28"/>
                      <w:szCs w:val="28"/>
                      <w:lang w:eastAsia="ru-RU"/>
                    </w:rPr>
                    <w:t>ФОП</w:t>
                  </w:r>
                  <w:proofErr w:type="spellEnd"/>
                  <w:r w:rsidRPr="00BC54C6">
                    <w:rPr>
                      <w:rFonts w:ascii="e-Ukraine Bold" w:hAnsi="e-Ukraine Bold" w:cs="Times New Roman"/>
                      <w:b/>
                      <w:bCs/>
                      <w:kern w:val="36"/>
                      <w:sz w:val="28"/>
                      <w:szCs w:val="28"/>
                      <w:lang w:eastAsia="ru-RU"/>
                    </w:rPr>
                    <w:t xml:space="preserve"> – власників, орендарі</w:t>
                  </w:r>
                  <w:proofErr w:type="gramStart"/>
                  <w:r w:rsidRPr="00BC54C6">
                    <w:rPr>
                      <w:rFonts w:ascii="e-Ukraine Bold" w:hAnsi="e-Ukraine Bold" w:cs="Times New Roman"/>
                      <w:b/>
                      <w:bCs/>
                      <w:kern w:val="36"/>
                      <w:sz w:val="28"/>
                      <w:szCs w:val="28"/>
                      <w:lang w:eastAsia="ru-RU"/>
                    </w:rPr>
                    <w:t>в</w:t>
                  </w:r>
                  <w:proofErr w:type="gramEnd"/>
                  <w:r w:rsidRPr="00BC54C6">
                    <w:rPr>
                      <w:rFonts w:ascii="e-Ukraine Bold" w:hAnsi="e-Ukraine Bold" w:cs="Times New Roman"/>
                      <w:b/>
                      <w:bCs/>
                      <w:kern w:val="36"/>
                      <w:sz w:val="28"/>
                      <w:szCs w:val="28"/>
                      <w:lang w:eastAsia="ru-RU"/>
                    </w:rPr>
                    <w:t xml:space="preserve"> земельних ділянок, віднесених до сільськогосподарських угідь</w:t>
                  </w:r>
                </w:p>
                <w:p w:rsidR="002C716F" w:rsidRPr="00E37571" w:rsidRDefault="002C716F" w:rsidP="00E37571">
                  <w:pPr>
                    <w:rPr>
                      <w:szCs w:val="36"/>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D547E5">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5356AF"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липень</w:t>
                  </w:r>
                  <w:proofErr w:type="spellEnd"/>
                  <w:r w:rsidR="00B27686" w:rsidRPr="00EC5E2B">
                    <w:rPr>
                      <w:rFonts w:ascii="e-Ukraine Bold" w:hAnsi="e-Ukraine Bold" w:cs="e-Ukraine Bold"/>
                      <w:b/>
                      <w:bCs/>
                      <w:i/>
                      <w:iCs/>
                      <w:color w:val="0033CC"/>
                      <w:sz w:val="28"/>
                      <w:szCs w:val="28"/>
                      <w:lang w:val="ru-RU"/>
                    </w:rPr>
                    <w:t xml:space="preserve"> </w:t>
                  </w:r>
                  <w:r w:rsidR="002C716F" w:rsidRPr="00EC5E2B">
                    <w:rPr>
                      <w:rFonts w:ascii="e-Ukraine Bold" w:hAnsi="e-Ukraine Bold" w:cs="e-Ukraine Bold"/>
                      <w:b/>
                      <w:bCs/>
                      <w:i/>
                      <w:iCs/>
                      <w:color w:val="0033CC"/>
                      <w:sz w:val="28"/>
                      <w:szCs w:val="28"/>
                    </w:rPr>
                    <w:t>202</w:t>
                  </w:r>
                  <w:r w:rsidR="00F15459" w:rsidRPr="00EC5E2B">
                    <w:rPr>
                      <w:rFonts w:ascii="e-Ukraine Bold" w:hAnsi="e-Ukraine Bold" w:cs="e-Ukraine Bold"/>
                      <w:b/>
                      <w:bCs/>
                      <w:i/>
                      <w:iCs/>
                      <w:color w:val="0033CC"/>
                      <w:sz w:val="28"/>
                      <w:szCs w:val="28"/>
                    </w:rPr>
                    <w:t>3</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D547E5">
      <w:r>
        <w:rPr>
          <w:noProof/>
          <w:lang w:val="ru-RU" w:eastAsia="ru-RU"/>
        </w:rPr>
        <w:lastRenderedPageBreak/>
        <w:pict>
          <v:group id="Группа 92" o:spid="_x0000_s1030" style="position:absolute;margin-left:-15.4pt;margin-top:-13.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rPr>
                        <w:t xml:space="preserve">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Амур-Нижньодніпровський, Індустріальний та Самарський райони м. Дніпра) </w:t>
                      </w:r>
                      <w:r w:rsidRPr="00670369">
                        <w:rPr>
                          <w:rFonts w:ascii="e-Ukraine" w:hAnsi="e-Ukraine" w:cs="Times New Roman"/>
                          <w:sz w:val="26"/>
                          <w:szCs w:val="26"/>
                          <w:lang w:eastAsia="ru-RU"/>
                        </w:rPr>
                        <w:t xml:space="preserve">звертає увагу, що відповідно до абзацу першого п. 177.14 ст. 177 Податкового кодексу України (далі – ПКУ) фізичні особи – підприємці – власники, орендарі, користувачі на інших умовах (в тому числі на умовах емфітевзису) земельних ділянок, віднесених до сільськогосподарських угідь, які здійснюють виробництво власної сільськогосподарської продукції,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у складі річної податкової декларації про майновий стан і доходи (далі – Декларація) додаток з розрахунком загального мінімального податкового зобов’язання (далі – МПЗ).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Пунктом 64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ХХ «Перехідні положення» ПКУ визначено, що першим роком, за який визначається мінімальне податкове зобов’язання, є 2022 рік.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Форма Декларації та Інструкція щодо заповнення податкової декларації про майновий стан і доходи (далі – Інструкція), затверджені наказом Міністерства фінансів України від 02.10.2015 № 859 із змінами та доповненнями (далі – Наказ № 859), передбачає заповнення окремого додатка «Розрахунок загального мінімального податкового зобов’язання за податковий (звітний) рік, що розраховується фізичними особами – підприємцями (крім осіб, що обрали спрощену систему оподаткування) – власниками, орендарями, користувачами на інших умовах (в тому числі на умовах емфітевзису) земельних ділянок, віднесених до сільськогосподарських угідь» (далі – додаток МПЗ).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МПЗ визначається за період володіння (користування) земельною ділянкою, який припадає на відповідний податковий (звітний) рік (примітка 1 інформації до додатка МПЗ до Декларації).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Згідно з </w:t>
                      </w:r>
                      <w:proofErr w:type="spellStart"/>
                      <w:r w:rsidRPr="00670369">
                        <w:rPr>
                          <w:rFonts w:ascii="e-Ukraine" w:hAnsi="e-Ukraine" w:cs="Times New Roman"/>
                          <w:sz w:val="26"/>
                          <w:szCs w:val="26"/>
                          <w:lang w:eastAsia="ru-RU"/>
                        </w:rPr>
                        <w:t>п.п</w:t>
                      </w:r>
                      <w:proofErr w:type="spellEnd"/>
                      <w:r w:rsidRPr="00670369">
                        <w:rPr>
                          <w:rFonts w:ascii="e-Ukraine" w:hAnsi="e-Ukraine" w:cs="Times New Roman"/>
                          <w:sz w:val="26"/>
                          <w:szCs w:val="26"/>
                          <w:lang w:eastAsia="ru-RU"/>
                        </w:rPr>
                        <w:t xml:space="preserve">. 2 п. 5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ІІІ Інструкції у графі 14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V «Податкові зобов’язання з податку на доходи фізичних осіб/військового збору» Декларації зазначається сума позитивного значення різниці між сумою загального МПЗ та загальною сумою сплачених податків, зборів, платежів та витрат на оренду земельних ділянок, яка розраховується у додатку МПЗ (графа 3 рядка 03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II додатка МПЗ).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Абзацами другим – п’ятим п. 177.14 ст. 177 ПКУ визначено, що у додатку МПЗ до Декларації, зокрема, зазначаються: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кадастрові номери земельних ділянок, які використовуються підприємцем для здійснення підприємницької діяльності та для яких визначається МПЗ, їх нормативна грошова оцінка та площа;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сума загального МПЗ, сума МПЗ щодо кожної земельної ділянки окремо;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загальна сума сплачених платником податку на доходи фізичних осіб (далі – ПДФО)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та визначених відповідно до п. 177.15 ст. 177 ПКУ витрат на оренду земельних ділянок протягом податкового (звітного) року;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різниця між сумою загального МПЗ та загальною сумою сплачених податків, зборів, платежів та витрат на оренду земельних ділянок, яка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До суми сплачених податків, зборів, платежів та витрат на оренду земельних ділянок відносяться: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ПДФО та військовий збір з чистого оподаткованого доходу від реалізації власної сільськогосподарської продукції;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ПДФО та військовий збір з доходів фізичних осіб, які перебувають з платником ПДФО у трудових або цивільно-правових відносинах (крім доходів, які сплачені за придбання товарів у фізичних осіб), з доходів за договорами оренди, суборенди, емфітевзису земельних ділянок сільськогосподарського призначення;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єдиний податок (у разі переходу у податковому (звітному) році із спрощеної системи оподаткування на загальну);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земельний податок за земельні ділянки, віднесені до сільськогосподарських угідь, які використовуються у підприємницькій діяльності;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рентна плата за спеціальне використання води;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- 20 </w:t>
                      </w:r>
                      <w:proofErr w:type="spellStart"/>
                      <w:r w:rsidRPr="00670369">
                        <w:rPr>
                          <w:rFonts w:ascii="e-Ukraine" w:hAnsi="e-Ukraine" w:cs="Times New Roman"/>
                          <w:sz w:val="26"/>
                          <w:szCs w:val="26"/>
                          <w:lang w:eastAsia="ru-RU"/>
                        </w:rPr>
                        <w:t>відс</w:t>
                      </w:r>
                      <w:proofErr w:type="spellEnd"/>
                      <w:r w:rsidRPr="00670369">
                        <w:rPr>
                          <w:rFonts w:ascii="e-Ukraine" w:hAnsi="e-Ukraine" w:cs="Times New Roman"/>
                          <w:sz w:val="26"/>
                          <w:szCs w:val="26"/>
                          <w:lang w:eastAsia="ru-RU"/>
                        </w:rPr>
                        <w:t xml:space="preserve">.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У разі використання земельної ділянки на праві емфітевзису ПДФО та військовий збір, сплачені під час здійснення виплат за таким договором емфітевзису, щорічно враховується у частці, розрахованій пропорційно до річної суми нарахованої амортизації на нематеріальний актив у вигляді права користування земельною ділянкою за договором емфітевзису (п. 177.6 ст. 177 ПКУ).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Відповідно до п. 177.20 ст. 177 ПКУ сума ПДФО у частині позитивного значення такої різниці не враховується у загальній сумі сплачених податків, зборів, платежів та витрат на оренду земельних ділянок у наступному податковому (звітному) році.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Сума позитивного значення різниці між сумою загального МПЗ та загальною сумою сплачених податків, зборів, платежів та витрат на оренду земельних ділянок з графи 3 рядка 03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II додатка МПЗ переноситься до графи 14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V «Податкові зобов’язання з податку на доходи фізичних осіб/військового збору» Декларації (далі –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xml:space="preserve">. V Декларації). </w:t>
                      </w:r>
                    </w:p>
                    <w:p w:rsidR="00AE1230" w:rsidRPr="00670369" w:rsidRDefault="00AE1230" w:rsidP="00AE1230">
                      <w:pPr>
                        <w:spacing w:after="0" w:line="240" w:lineRule="auto"/>
                        <w:ind w:firstLine="567"/>
                        <w:jc w:val="both"/>
                        <w:rPr>
                          <w:rFonts w:ascii="e-Ukraine" w:hAnsi="e-Ukraine" w:cs="Times New Roman"/>
                          <w:sz w:val="26"/>
                          <w:szCs w:val="26"/>
                          <w:lang w:eastAsia="ru-RU"/>
                        </w:rPr>
                      </w:pPr>
                      <w:r w:rsidRPr="00670369">
                        <w:rPr>
                          <w:rFonts w:ascii="e-Ukraine" w:hAnsi="e-Ukraine" w:cs="Times New Roman"/>
                          <w:sz w:val="26"/>
                          <w:szCs w:val="26"/>
                          <w:lang w:eastAsia="ru-RU"/>
                        </w:rPr>
                        <w:t xml:space="preserve">В графі 15 </w:t>
                      </w:r>
                      <w:proofErr w:type="spellStart"/>
                      <w:r w:rsidRPr="00670369">
                        <w:rPr>
                          <w:rFonts w:ascii="e-Ukraine" w:hAnsi="e-Ukraine" w:cs="Times New Roman"/>
                          <w:sz w:val="26"/>
                          <w:szCs w:val="26"/>
                          <w:lang w:eastAsia="ru-RU"/>
                        </w:rPr>
                        <w:t>розд</w:t>
                      </w:r>
                      <w:proofErr w:type="spellEnd"/>
                      <w:r w:rsidRPr="00670369">
                        <w:rPr>
                          <w:rFonts w:ascii="e-Ukraine" w:hAnsi="e-Ukraine" w:cs="Times New Roman"/>
                          <w:sz w:val="26"/>
                          <w:szCs w:val="26"/>
                          <w:lang w:eastAsia="ru-RU"/>
                        </w:rPr>
                        <w:t>. V Декларації відображається сума ПДФО позитивного значення різниці між сумою загального МПЗ та загальною сумою сплачених податків, зборів, платежів та витрат на оренду земельних ділянок, сплаченого за місцезнаходженням земельної(х) ділянки(</w:t>
                      </w:r>
                      <w:proofErr w:type="spellStart"/>
                      <w:r w:rsidRPr="00670369">
                        <w:rPr>
                          <w:rFonts w:ascii="e-Ukraine" w:hAnsi="e-Ukraine" w:cs="Times New Roman"/>
                          <w:sz w:val="26"/>
                          <w:szCs w:val="26"/>
                          <w:lang w:eastAsia="ru-RU"/>
                        </w:rPr>
                        <w:t>ок</w:t>
                      </w:r>
                      <w:proofErr w:type="spellEnd"/>
                      <w:r w:rsidRPr="00670369">
                        <w:rPr>
                          <w:rFonts w:ascii="e-Ukraine" w:hAnsi="e-Ukraine" w:cs="Times New Roman"/>
                          <w:sz w:val="26"/>
                          <w:szCs w:val="26"/>
                          <w:lang w:eastAsia="ru-RU"/>
                        </w:rPr>
                        <w:t xml:space="preserve">), відмінним від податкової адреси платника податку. </w:t>
                      </w:r>
                    </w:p>
                    <w:p w:rsidR="00AE1230" w:rsidRPr="00670369" w:rsidRDefault="00AE1230" w:rsidP="00AE1230">
                      <w:pPr>
                        <w:spacing w:after="0"/>
                        <w:ind w:firstLine="567"/>
                        <w:rPr>
                          <w:rFonts w:ascii="e-Ukraine" w:hAnsi="e-Ukraine"/>
                          <w:sz w:val="26"/>
                          <w:szCs w:val="26"/>
                        </w:rPr>
                      </w:pPr>
                    </w:p>
                    <w:p w:rsidR="002C716F" w:rsidRPr="008278C1" w:rsidRDefault="002C716F" w:rsidP="008278C1">
                      <w:pPr>
                        <w:rPr>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D547E5">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D547E5">
      <w:r>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D547E5">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402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24FE"/>
    <w:rsid w:val="00233109"/>
    <w:rsid w:val="00237802"/>
    <w:rsid w:val="0024199B"/>
    <w:rsid w:val="002425C8"/>
    <w:rsid w:val="00243CAA"/>
    <w:rsid w:val="0025400C"/>
    <w:rsid w:val="002556DA"/>
    <w:rsid w:val="002572F6"/>
    <w:rsid w:val="002605C8"/>
    <w:rsid w:val="00261934"/>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B3967"/>
    <w:rsid w:val="003B39FF"/>
    <w:rsid w:val="003B5582"/>
    <w:rsid w:val="003C55D7"/>
    <w:rsid w:val="003D0864"/>
    <w:rsid w:val="003D10FA"/>
    <w:rsid w:val="003D262F"/>
    <w:rsid w:val="003D4ABE"/>
    <w:rsid w:val="003D52D7"/>
    <w:rsid w:val="003E7AC4"/>
    <w:rsid w:val="003F15FD"/>
    <w:rsid w:val="00400B76"/>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356AF"/>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1DB8"/>
    <w:rsid w:val="005D4053"/>
    <w:rsid w:val="005D6F26"/>
    <w:rsid w:val="005E36C9"/>
    <w:rsid w:val="005E4813"/>
    <w:rsid w:val="005E6CF7"/>
    <w:rsid w:val="005E7A81"/>
    <w:rsid w:val="005F14EA"/>
    <w:rsid w:val="005F2019"/>
    <w:rsid w:val="005F3D80"/>
    <w:rsid w:val="005F4F05"/>
    <w:rsid w:val="005F7557"/>
    <w:rsid w:val="00602311"/>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40F0"/>
    <w:rsid w:val="00744C0A"/>
    <w:rsid w:val="00751B83"/>
    <w:rsid w:val="00756FF8"/>
    <w:rsid w:val="0076154A"/>
    <w:rsid w:val="00761CE9"/>
    <w:rsid w:val="0076414F"/>
    <w:rsid w:val="00764A12"/>
    <w:rsid w:val="0076547A"/>
    <w:rsid w:val="007662A0"/>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230"/>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54C6"/>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47E5"/>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37571"/>
    <w:rsid w:val="00E44D8E"/>
    <w:rsid w:val="00E54DB0"/>
    <w:rsid w:val="00E55468"/>
    <w:rsid w:val="00E6393F"/>
    <w:rsid w:val="00E63A55"/>
    <w:rsid w:val="00E65DD3"/>
    <w:rsid w:val="00E73838"/>
    <w:rsid w:val="00E837FB"/>
    <w:rsid w:val="00E8614F"/>
    <w:rsid w:val="00E8745F"/>
    <w:rsid w:val="00E95784"/>
    <w:rsid w:val="00E971F0"/>
    <w:rsid w:val="00EA0713"/>
    <w:rsid w:val="00EA0EB0"/>
    <w:rsid w:val="00EA2B71"/>
    <w:rsid w:val="00EB412E"/>
    <w:rsid w:val="00EC06AF"/>
    <w:rsid w:val="00EC40EE"/>
    <w:rsid w:val="00EC5E2B"/>
    <w:rsid w:val="00EC797B"/>
    <w:rsid w:val="00ED0CA2"/>
    <w:rsid w:val="00ED5D68"/>
    <w:rsid w:val="00EE0AF6"/>
    <w:rsid w:val="00EE1F61"/>
    <w:rsid w:val="00EE3B56"/>
    <w:rsid w:val="00EE416B"/>
    <w:rsid w:val="00EE4301"/>
    <w:rsid w:val="00EF2A1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37"/>
    <w:rsid w:val="00FC1ED9"/>
    <w:rsid w:val="00FC359C"/>
    <w:rsid w:val="00FC5652"/>
    <w:rsid w:val="00FC6F93"/>
    <w:rsid w:val="00FC6FA9"/>
    <w:rsid w:val="00FD0ABC"/>
    <w:rsid w:val="00FD0FF1"/>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0D1E1-7D8B-47C1-AFB5-188ECE7D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14</Words>
  <Characters>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38</cp:revision>
  <cp:lastPrinted>2021-08-13T12:28:00Z</cp:lastPrinted>
  <dcterms:created xsi:type="dcterms:W3CDTF">2022-07-29T12:11:00Z</dcterms:created>
  <dcterms:modified xsi:type="dcterms:W3CDTF">2023-07-07T08:31:00Z</dcterms:modified>
</cp:coreProperties>
</file>