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F90F46">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F90F46">
      <w:r>
        <w:rPr>
          <w:noProof/>
          <w:lang w:val="ru-RU" w:eastAsia="ru-RU"/>
        </w:rPr>
        <w:pict>
          <v:shape id="Надпись 5" o:spid="_x0000_s1028" type="#_x0000_t202" style="position:absolute;margin-left:437.1pt;margin-top:6.35pt;width:351pt;height:159.8pt;z-index:251664384;visibility:visible;mso-position-horizontal-relative:margin" filled="f" stroked="f" strokeweight=".5pt">
            <v:textbox style="mso-next-textbox:#Надпись 5">
              <w:txbxContent>
                <w:p w:rsidR="006C2D13" w:rsidRPr="006C2D13" w:rsidRDefault="006C2D13" w:rsidP="006C2D13">
                  <w:pPr>
                    <w:pStyle w:val="1"/>
                    <w:rPr>
                      <w:rFonts w:ascii="e-Ukraine Bold" w:hAnsi="e-Ukraine Bold"/>
                      <w:sz w:val="40"/>
                      <w:szCs w:val="40"/>
                    </w:rPr>
                  </w:pPr>
                  <w:r w:rsidRPr="006C2D13">
                    <w:rPr>
                      <w:rFonts w:ascii="e-Ukraine Bold" w:hAnsi="e-Ukraine Bold"/>
                      <w:sz w:val="40"/>
                      <w:szCs w:val="40"/>
                    </w:rPr>
                    <w:t>Визначення мінімального податкового зобов’язання для фізичних осіб</w:t>
                  </w:r>
                </w:p>
                <w:p w:rsidR="00B53BE3" w:rsidRPr="006C2D13" w:rsidRDefault="00B53BE3" w:rsidP="00B53BE3">
                  <w:pPr>
                    <w:pStyle w:val="1"/>
                    <w:rPr>
                      <w:rFonts w:ascii="e-Ukraine Bold" w:hAnsi="e-Ukraine Bold"/>
                      <w:sz w:val="40"/>
                      <w:szCs w:val="40"/>
                    </w:rPr>
                  </w:pPr>
                </w:p>
                <w:p w:rsidR="002C716F" w:rsidRPr="00B53BE3" w:rsidRDefault="002C716F" w:rsidP="00B86CC2">
                  <w:pPr>
                    <w:rPr>
                      <w:rFonts w:ascii="e-Ukraine Bold" w:hAnsi="e-Ukraine Bold"/>
                      <w:sz w:val="40"/>
                      <w:szCs w:val="40"/>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F90F46">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0934CF"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Травень</w:t>
                  </w:r>
                  <w:proofErr w:type="spellEnd"/>
                  <w:r w:rsidR="00672729">
                    <w:rPr>
                      <w:rFonts w:ascii="e-Ukraine Bold" w:hAnsi="e-Ukraine Bold" w:cs="e-Ukraine Bold"/>
                      <w:b/>
                      <w:bCs/>
                      <w:i/>
                      <w:iCs/>
                      <w:sz w:val="28"/>
                      <w:szCs w:val="28"/>
                      <w:lang w:val="ru-RU"/>
                    </w:rPr>
                    <w:t xml:space="preserve">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B53BE3">
                    <w:rPr>
                      <w:rFonts w:ascii="e-Ukraine Bold" w:hAnsi="e-Ukraine Bold" w:cs="e-Ukraine Bold"/>
                      <w:b/>
                      <w:bCs/>
                      <w:i/>
                      <w:iCs/>
                      <w:sz w:val="28"/>
                      <w:szCs w:val="28"/>
                    </w:rPr>
                    <w:t>3</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F90F46">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6C2D13" w:rsidRPr="006C2D13" w:rsidRDefault="009A48F7" w:rsidP="006C2D13">
                      <w:pPr>
                        <w:pStyle w:val="a6"/>
                        <w:spacing w:before="0" w:beforeAutospacing="0" w:after="0" w:afterAutospacing="0"/>
                        <w:ind w:firstLine="567"/>
                        <w:jc w:val="both"/>
                        <w:rPr>
                          <w:rFonts w:ascii="e-Ukraine" w:hAnsi="e-Ukraine"/>
                        </w:rPr>
                      </w:pPr>
                      <w:r w:rsidRPr="006C2D13">
                        <w:rPr>
                          <w:rFonts w:ascii="e-Ukraine" w:hAnsi="e-Ukraine" w:cs="Times New Roman"/>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6C2D13">
                        <w:rPr>
                          <w:rFonts w:ascii="e-Ukraine" w:hAnsi="e-Ukraine" w:cs="Times New Roman"/>
                        </w:rPr>
                        <w:t>Павлоградський</w:t>
                      </w:r>
                      <w:proofErr w:type="spellEnd"/>
                      <w:r w:rsidRPr="006C2D13">
                        <w:rPr>
                          <w:rFonts w:ascii="e-Ukraine" w:hAnsi="e-Ukraine" w:cs="Times New Roman"/>
                        </w:rPr>
                        <w:t xml:space="preserve"> регіон) </w:t>
                      </w:r>
                      <w:r w:rsidR="006C2D13" w:rsidRPr="006C2D13">
                        <w:rPr>
                          <w:rFonts w:ascii="e-Ukraine" w:hAnsi="e-Ukraine"/>
                        </w:rPr>
                        <w:t xml:space="preserve">нагадує.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Законом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для платників податків – фізичних осіб, у яких у власності та/або користуванні (оренді, суборенді, емфітевзисі, постійному користуванні) є земельні ділянки, віднесені до сільськогосподарських угідь, вводиться поняття мінімального податкового зобов’язання (далі – МПЗ).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Відповідно до п. 64 розділу ХХ «Перехідні положення» Податкового кодексу України (далі – Кодекс) першим роком, за який визначається мінімальне податкове зобов’язання, є 2022 рік.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Платником у частині МПЗ є резидент, який володіє та/або користується (орендує (</w:t>
                      </w:r>
                      <w:proofErr w:type="spellStart"/>
                      <w:r w:rsidRPr="006C2D13">
                        <w:rPr>
                          <w:rFonts w:ascii="e-Ukraine" w:hAnsi="e-Ukraine"/>
                        </w:rPr>
                        <w:t>суборендує</w:t>
                      </w:r>
                      <w:proofErr w:type="spellEnd"/>
                      <w:r w:rsidRPr="006C2D13">
                        <w:rPr>
                          <w:rFonts w:ascii="e-Ukraine" w:hAnsi="e-Ukraine"/>
                        </w:rPr>
                        <w:t>), на умовах емфітевзису, постійно користується) земельними ділянками, віднесеними до сільськогосподарських угідь (</w:t>
                      </w:r>
                      <w:proofErr w:type="spellStart"/>
                      <w:r w:rsidRPr="006C2D13">
                        <w:rPr>
                          <w:rFonts w:ascii="e-Ukraine" w:hAnsi="e-Ukraine"/>
                        </w:rPr>
                        <w:t>п.п</w:t>
                      </w:r>
                      <w:proofErr w:type="spellEnd"/>
                      <w:r w:rsidRPr="006C2D13">
                        <w:rPr>
                          <w:rFonts w:ascii="e-Ukraine" w:hAnsi="e-Ukraine"/>
                        </w:rPr>
                        <w:t>. 162.1.1</w:t>
                      </w:r>
                      <w:r w:rsidRPr="006C2D13">
                        <w:rPr>
                          <w:rFonts w:ascii="e-Ukraine" w:hAnsi="e-Ukraine"/>
                          <w:vertAlign w:val="superscript"/>
                        </w:rPr>
                        <w:t>1</w:t>
                      </w:r>
                      <w:r w:rsidRPr="006C2D13">
                        <w:t> </w:t>
                      </w:r>
                      <w:r w:rsidRPr="006C2D13">
                        <w:rPr>
                          <w:rFonts w:ascii="e-Ukraine" w:hAnsi="e-Ukraine"/>
                        </w:rPr>
                        <w:t xml:space="preserve">п. 162.1 ст. 162 Кодексу).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Підпунктом 170.14.3 п. 170.14 ст. 170 Кодексу встановлено, що</w:t>
                      </w:r>
                      <w:r w:rsidRPr="006C2D13">
                        <w:t> </w:t>
                      </w:r>
                      <w:r w:rsidRPr="006C2D13">
                        <w:rPr>
                          <w:rStyle w:val="a7"/>
                          <w:rFonts w:ascii="e-Ukraine" w:hAnsi="e-Ukraine"/>
                          <w:b w:val="0"/>
                        </w:rPr>
                        <w:t>визначення загального МПЗ фізичним особам</w:t>
                      </w:r>
                      <w:r w:rsidRPr="006C2D13">
                        <w:rPr>
                          <w:rFonts w:ascii="e-Ukraine" w:hAnsi="e-Ukraine"/>
                          <w:b/>
                        </w:rPr>
                        <w:t>,</w:t>
                      </w:r>
                      <w:r w:rsidRPr="006C2D13">
                        <w:rPr>
                          <w:rFonts w:ascii="e-Ukraine" w:hAnsi="e-Ukraine"/>
                        </w:rPr>
                        <w:t xml:space="preserve"> які не зареєстровані як фізичні особи – підприємці, здійснюється</w:t>
                      </w:r>
                      <w:r w:rsidRPr="006C2D13">
                        <w:rPr>
                          <w:b/>
                        </w:rPr>
                        <w:t> </w:t>
                      </w:r>
                      <w:r w:rsidRPr="006C2D13">
                        <w:rPr>
                          <w:rStyle w:val="a7"/>
                          <w:rFonts w:ascii="e-Ukraine" w:hAnsi="e-Ukraine"/>
                          <w:b w:val="0"/>
                        </w:rPr>
                        <w:t>контролюючими органами за податковою адресою таких осіб до 1 липня року, наступного за звітним.</w:t>
                      </w:r>
                      <w:r w:rsidRPr="006C2D13">
                        <w:rPr>
                          <w:rFonts w:ascii="e-Ukraine" w:hAnsi="e-Ukraine"/>
                        </w:rPr>
                        <w:t xml:space="preserve">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Звертаємо увагу, що платниками податку до</w:t>
                      </w:r>
                      <w:r w:rsidRPr="006C2D13">
                        <w:rPr>
                          <w:rFonts w:ascii="e-Ukraine" w:hAnsi="e-Ukraine"/>
                          <w:u w:val="single"/>
                        </w:rPr>
                        <w:t xml:space="preserve"> </w:t>
                      </w:r>
                      <w:r w:rsidRPr="006C2D13">
                        <w:rPr>
                          <w:rFonts w:ascii="e-Ukraine" w:hAnsi="e-Ukraine"/>
                        </w:rPr>
                        <w:t xml:space="preserve">бюджету сплачується лише позитивне значення різниці між сумою загального МПЗ та сумою сплачених протягом податкового (звітного) року податків, зборів, платежів,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До загальної суми сплачених протягом податкового (звітного) року податків, зборів, платежів для платника податку – фізичної особи включаються: податок на доходи фізичних осіб (далі – податок) та військовий збір з доходів від продажу власної сільськогосподарської продукції; земельний податок за земельні ділянки, віднесені до сільськогосподарських угідь (</w:t>
                      </w:r>
                      <w:proofErr w:type="spellStart"/>
                      <w:r w:rsidRPr="006C2D13">
                        <w:rPr>
                          <w:rFonts w:ascii="e-Ukraine" w:hAnsi="e-Ukraine"/>
                        </w:rPr>
                        <w:t>п.п</w:t>
                      </w:r>
                      <w:proofErr w:type="spellEnd"/>
                      <w:r w:rsidRPr="006C2D13">
                        <w:rPr>
                          <w:rFonts w:ascii="e-Ukraine" w:hAnsi="e-Ukraine"/>
                        </w:rPr>
                        <w:t xml:space="preserve">. 170.14.5 п. 170.14 ст. 170 Кодексу).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Отже, вперше фізичні особи, які не зареєстровані як фізичні особи – підприємці, отримають податкове повідомлення-рішення з детальним розрахунком суми річного податкового зобов’язання з податку за земельні ділянки, віднесені до сільськогосподарських угідь, до 01.07.2023.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Слід зазначити, що</w:t>
                      </w:r>
                      <w:r w:rsidRPr="006C2D13">
                        <w:t> </w:t>
                      </w:r>
                      <w:r w:rsidRPr="006C2D13">
                        <w:rPr>
                          <w:rFonts w:ascii="e-Ukraine" w:hAnsi="e-Ukraine"/>
                        </w:rPr>
                        <w:t>у разі передачі земельних ділянок в оренду (суборенду), емфітевзис або інше користування (при оформленні таких взаємовідносин відповідно до чинного законодавства)</w:t>
                      </w:r>
                      <w:r w:rsidRPr="006C2D13">
                        <w:t> </w:t>
                      </w:r>
                      <w:r w:rsidRPr="006C2D13">
                        <w:rPr>
                          <w:rFonts w:ascii="e-Ukraine" w:hAnsi="e-Ukraine"/>
                        </w:rPr>
                        <w:t>МПЗ визначається</w:t>
                      </w:r>
                      <w:r w:rsidRPr="006C2D13">
                        <w:t> </w:t>
                      </w:r>
                      <w:r w:rsidRPr="006C2D13">
                        <w:rPr>
                          <w:rFonts w:ascii="e-Ukraine" w:hAnsi="e-Ukraine"/>
                        </w:rPr>
                        <w:t xml:space="preserve">для орендарів, користувачів на інших умовах таких земельних ділянок у порядку, визначеному Кодексом.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Тобто, для фізичних осіб, які відповідно до норм Цивільного кодексу України, Земельного кодексу України та Закону України від 06 жовтня 1998 року № 161 «Про оренду землі» із змінами оформили взаємовідносини щодо передачі сільськогосподарських угідь в оренду (суборенду), емфітевзис або інше користування, МПЗ контролюючим органом не визначається. У такому випадку МПЗ за такі землі сплачує орендар.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Розрахункова сума МПЗ визначається за формулами, встановленими ст.</w:t>
                      </w:r>
                      <w:r w:rsidRPr="006C2D13">
                        <w:t> </w:t>
                      </w:r>
                      <w:r w:rsidRPr="006C2D13">
                        <w:rPr>
                          <w:rFonts w:ascii="e-Ukraine" w:hAnsi="e-Ukraine"/>
                        </w:rPr>
                        <w:t>38</w:t>
                      </w:r>
                      <w:r w:rsidRPr="006C2D13">
                        <w:rPr>
                          <w:rFonts w:ascii="e-Ukraine" w:hAnsi="e-Ukraine"/>
                          <w:vertAlign w:val="superscript"/>
                        </w:rPr>
                        <w:t>1</w:t>
                      </w:r>
                      <w:r w:rsidRPr="006C2D13">
                        <w:t> </w:t>
                      </w:r>
                      <w:r w:rsidRPr="006C2D13">
                        <w:rPr>
                          <w:rFonts w:ascii="e-Ukraine" w:hAnsi="e-Ukraine"/>
                        </w:rPr>
                        <w:t xml:space="preserve">Кодексу, в залежності від наявної нормативно грошової оцінки відповідної земельної ділянки або нормативно грошової оцінки 1 гектара ріллі по Автономній Республіці Крим або по області з урахуванням коефіцієнта індексації, визначеного відповідно до порядку, встановленого Кодексом для справляння плати за землю; коефіцієнту та кількості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Звертаємо увагу, що відповідно до п. 67 розділу ХХ «Перехідні положення» Кодексу</w:t>
                      </w:r>
                      <w:r w:rsidRPr="006C2D13">
                        <w:t> </w:t>
                      </w:r>
                      <w:r w:rsidRPr="006C2D13">
                        <w:rPr>
                          <w:rFonts w:ascii="e-Ukraine" w:hAnsi="e-Ukraine"/>
                        </w:rPr>
                        <w:t xml:space="preserve">тимчасово, для розрахунку МПЗ за 2022 та 2023 податкові (звітні) роки коефіцієнт застосовується із значенням 0,04.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Сума податку у частині позитивного значення різниці між сумою загального МПЗ та загальною сумою сплачених податків, зборів, платежів розподіляється контролюючим органом пропорційно до питомої ваги площі кожної із земельних ділянок, віднесених до сільськогосподарських угідь, та сплачується (перераховується) до місцевих бюджетів за місцезнаходженням таких земельних ділянок.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У разі згоди платника податку з визначеним контролюючим органом загальним мінімальним податковим зобов’язанням та/або розрахованою сумою річного податкового зобов’язання з податку такий платник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w:t>
                      </w:r>
                      <w:r w:rsidRPr="006C2D13">
                        <w:t> </w:t>
                      </w:r>
                      <w:r w:rsidRPr="006C2D13">
                        <w:rPr>
                          <w:rFonts w:ascii="e-Ukraine" w:hAnsi="e-Ukraine"/>
                        </w:rPr>
                        <w:t>(</w:t>
                      </w:r>
                      <w:proofErr w:type="spellStart"/>
                      <w:r w:rsidRPr="006C2D13">
                        <w:rPr>
                          <w:rFonts w:ascii="e-Ukraine" w:hAnsi="e-Ukraine"/>
                        </w:rPr>
                        <w:t>п.п</w:t>
                      </w:r>
                      <w:proofErr w:type="spellEnd"/>
                      <w:r w:rsidRPr="006C2D13">
                        <w:rPr>
                          <w:rFonts w:ascii="e-Ukraine" w:hAnsi="e-Ukraine"/>
                        </w:rPr>
                        <w:t>. 170.14.6 п.</w:t>
                      </w:r>
                      <w:r w:rsidRPr="006C2D13">
                        <w:t> </w:t>
                      </w:r>
                      <w:r w:rsidRPr="006C2D13">
                        <w:rPr>
                          <w:rFonts w:ascii="e-Ukraine" w:hAnsi="e-Ukraine"/>
                        </w:rPr>
                        <w:t xml:space="preserve">170.14 ст. 170 Кодексу).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Відповідно до </w:t>
                      </w:r>
                      <w:proofErr w:type="spellStart"/>
                      <w:r w:rsidRPr="006C2D13">
                        <w:rPr>
                          <w:rFonts w:ascii="e-Ukraine" w:hAnsi="e-Ukraine"/>
                        </w:rPr>
                        <w:t>п.п</w:t>
                      </w:r>
                      <w:proofErr w:type="spellEnd"/>
                      <w:r w:rsidRPr="006C2D13">
                        <w:rPr>
                          <w:rFonts w:ascii="e-Ukraine" w:hAnsi="e-Ukraine"/>
                        </w:rPr>
                        <w:t xml:space="preserve"> 170.14.6 п. 170.14 ст. 170 Кодексу, у разі незгоди платника податку з визначеним контролюючим органом загальним МПЗ та/або розрахованою у відповідному податковому повідомленні-рішенні сумою річного податкового зобов’язання з податку такий платник податку має право у порядку, встановленому ст. 42 Кодексу,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з наданням підтвердних документів, зокрема щодо: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суми доходу, отриманого від реалізації власної сільськогосподарської продукції; </w:t>
                      </w:r>
                    </w:p>
                    <w:p w:rsidR="006C2D13" w:rsidRPr="006C2D13" w:rsidRDefault="006C2D13" w:rsidP="006C2D13">
                      <w:pPr>
                        <w:pStyle w:val="a6"/>
                        <w:spacing w:before="0" w:beforeAutospacing="0" w:after="0" w:afterAutospacing="0"/>
                        <w:ind w:firstLine="567"/>
                        <w:jc w:val="both"/>
                        <w:rPr>
                          <w:rFonts w:ascii="e-Ukraine" w:hAnsi="e-Ukraine"/>
                        </w:rPr>
                      </w:pPr>
                      <w:r w:rsidRPr="006C2D13">
                        <w:rPr>
                          <w:rFonts w:ascii="e-Ukraine" w:hAnsi="e-Ukraine"/>
                        </w:rPr>
                        <w:t xml:space="preserve">суми сплачених податків, зборів, платежів. </w:t>
                      </w:r>
                    </w:p>
                    <w:p w:rsidR="006C2D13" w:rsidRPr="006C2D13" w:rsidRDefault="006C2D13" w:rsidP="006C2D13">
                      <w:pPr>
                        <w:pStyle w:val="a6"/>
                        <w:jc w:val="both"/>
                        <w:rPr>
                          <w:rFonts w:ascii="e-Ukraine" w:hAnsi="e-Ukraine"/>
                        </w:rPr>
                      </w:pPr>
                      <w:r w:rsidRPr="006C2D13">
                        <w:rPr>
                          <w:rFonts w:ascii="e-Ukraine" w:hAnsi="e-Ukraine"/>
                        </w:rPr>
                        <w:t xml:space="preserve">Інформація розміщена на </w:t>
                      </w:r>
                      <w:proofErr w:type="spellStart"/>
                      <w:r w:rsidRPr="006C2D13">
                        <w:rPr>
                          <w:rFonts w:ascii="e-Ukraine" w:hAnsi="e-Ukraine"/>
                        </w:rPr>
                        <w:t>вебпорталі</w:t>
                      </w:r>
                      <w:proofErr w:type="spellEnd"/>
                      <w:r w:rsidRPr="006C2D13">
                        <w:rPr>
                          <w:rFonts w:ascii="e-Ukraine" w:hAnsi="e-Ukraine"/>
                        </w:rPr>
                        <w:t xml:space="preserve"> ДПС України за посиланням </w:t>
                      </w:r>
                    </w:p>
                    <w:p w:rsidR="006C2D13" w:rsidRPr="006C2D13" w:rsidRDefault="006C2D13" w:rsidP="006C2D13">
                      <w:pPr>
                        <w:pStyle w:val="a6"/>
                        <w:jc w:val="both"/>
                        <w:rPr>
                          <w:rFonts w:ascii="e-Ukraine" w:hAnsi="e-Ukraine"/>
                        </w:rPr>
                      </w:pPr>
                      <w:hyperlink r:id="rId7" w:history="1">
                        <w:r w:rsidRPr="006C2D13">
                          <w:rPr>
                            <w:rStyle w:val="a5"/>
                            <w:rFonts w:ascii="e-Ukraine" w:hAnsi="e-Ukraine"/>
                          </w:rPr>
                          <w:t>https://tax.gov.ua/deklaratsiyna-kampaniya-2023/viznachennya-minimalnogo-podatkovogo-zobovyazannya-dlya-fizichnih-osib/</w:t>
                        </w:r>
                      </w:hyperlink>
                      <w:r w:rsidRPr="006C2D13">
                        <w:rPr>
                          <w:rFonts w:ascii="e-Ukraine" w:hAnsi="e-Ukraine"/>
                        </w:rPr>
                        <w:t xml:space="preserve"> </w:t>
                      </w:r>
                    </w:p>
                    <w:p w:rsidR="006C2D13" w:rsidRPr="006C2D13" w:rsidRDefault="006C2D13" w:rsidP="006C2D13">
                      <w:pPr>
                        <w:pStyle w:val="a6"/>
                        <w:spacing w:before="0" w:beforeAutospacing="0" w:after="0" w:afterAutospacing="0"/>
                        <w:ind w:firstLine="567"/>
                        <w:jc w:val="both"/>
                        <w:rPr>
                          <w:rFonts w:ascii="e-Ukraine" w:hAnsi="e-Ukraine"/>
                          <w:sz w:val="28"/>
                          <w:szCs w:val="28"/>
                        </w:rPr>
                      </w:pPr>
                    </w:p>
                    <w:p w:rsidR="0010434A" w:rsidRPr="0010434A" w:rsidRDefault="0010434A" w:rsidP="0010434A">
                      <w:pPr>
                        <w:pStyle w:val="a6"/>
                        <w:spacing w:before="0" w:beforeAutospacing="0" w:after="0" w:afterAutospacing="0"/>
                        <w:ind w:firstLine="567"/>
                        <w:jc w:val="both"/>
                        <w:rPr>
                          <w:rFonts w:ascii="e-Ukraine" w:hAnsi="e-Ukraine" w:cs="Times New Roman"/>
                          <w:lang w:eastAsia="ru-RU"/>
                        </w:rPr>
                      </w:pPr>
                    </w:p>
                    <w:p w:rsidR="00DB059D" w:rsidRPr="006C2D13" w:rsidRDefault="00DB059D" w:rsidP="00DB059D">
                      <w:pPr>
                        <w:pStyle w:val="a6"/>
                        <w:spacing w:before="0" w:beforeAutospacing="0" w:after="0" w:afterAutospacing="0"/>
                        <w:ind w:firstLine="567"/>
                        <w:jc w:val="both"/>
                        <w:rPr>
                          <w:rFonts w:ascii="e-Ukraine" w:hAnsi="e-Ukraine" w:cs="Times New Roman"/>
                          <w:lang w:eastAsia="ru-RU"/>
                        </w:rPr>
                      </w:pPr>
                    </w:p>
                    <w:p w:rsidR="00090CB0" w:rsidRPr="00090CB0" w:rsidRDefault="00090CB0" w:rsidP="00090CB0">
                      <w:pPr>
                        <w:pStyle w:val="a6"/>
                        <w:spacing w:before="0" w:beforeAutospacing="0" w:after="0" w:afterAutospacing="0"/>
                        <w:ind w:firstLine="567"/>
                        <w:jc w:val="both"/>
                        <w:rPr>
                          <w:rFonts w:ascii="e-Ukraine" w:hAnsi="e-Ukraine"/>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F90F46">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F90F46">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F90F46">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16A3"/>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0CB0"/>
    <w:rsid w:val="00092687"/>
    <w:rsid w:val="00092BBA"/>
    <w:rsid w:val="00093292"/>
    <w:rsid w:val="000934CF"/>
    <w:rsid w:val="000A16E2"/>
    <w:rsid w:val="000A5719"/>
    <w:rsid w:val="000B18C9"/>
    <w:rsid w:val="000C584A"/>
    <w:rsid w:val="000C59BA"/>
    <w:rsid w:val="000C7D9E"/>
    <w:rsid w:val="000D4E62"/>
    <w:rsid w:val="000E4D69"/>
    <w:rsid w:val="000E7558"/>
    <w:rsid w:val="000E7A8B"/>
    <w:rsid w:val="000F1E75"/>
    <w:rsid w:val="000F626F"/>
    <w:rsid w:val="001029F3"/>
    <w:rsid w:val="0010434A"/>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371FD"/>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2772"/>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1E06"/>
    <w:rsid w:val="0049392D"/>
    <w:rsid w:val="00494E1F"/>
    <w:rsid w:val="004968B0"/>
    <w:rsid w:val="004A123D"/>
    <w:rsid w:val="004A2F3B"/>
    <w:rsid w:val="004A5C90"/>
    <w:rsid w:val="004B0FCE"/>
    <w:rsid w:val="004B1CE5"/>
    <w:rsid w:val="004B49F7"/>
    <w:rsid w:val="004C1187"/>
    <w:rsid w:val="004C3977"/>
    <w:rsid w:val="004C6570"/>
    <w:rsid w:val="004C7D16"/>
    <w:rsid w:val="004D6CF1"/>
    <w:rsid w:val="004D73C4"/>
    <w:rsid w:val="004E4A76"/>
    <w:rsid w:val="004E586F"/>
    <w:rsid w:val="004E6A9C"/>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676BB"/>
    <w:rsid w:val="00570BDF"/>
    <w:rsid w:val="00574C28"/>
    <w:rsid w:val="005753C7"/>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51BA"/>
    <w:rsid w:val="005D6F26"/>
    <w:rsid w:val="005E36C9"/>
    <w:rsid w:val="005E4813"/>
    <w:rsid w:val="005E6CF7"/>
    <w:rsid w:val="005E7A81"/>
    <w:rsid w:val="005F14EA"/>
    <w:rsid w:val="005F2019"/>
    <w:rsid w:val="005F3D80"/>
    <w:rsid w:val="005F4F05"/>
    <w:rsid w:val="005F7557"/>
    <w:rsid w:val="006019B5"/>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723"/>
    <w:rsid w:val="00652CB6"/>
    <w:rsid w:val="00655BB8"/>
    <w:rsid w:val="0065664D"/>
    <w:rsid w:val="00657922"/>
    <w:rsid w:val="00657A81"/>
    <w:rsid w:val="00660250"/>
    <w:rsid w:val="006668A4"/>
    <w:rsid w:val="00666919"/>
    <w:rsid w:val="00671D8D"/>
    <w:rsid w:val="00672729"/>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2D13"/>
    <w:rsid w:val="006C4258"/>
    <w:rsid w:val="006C4DDE"/>
    <w:rsid w:val="006C4F69"/>
    <w:rsid w:val="006C6C9A"/>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0FEE"/>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01BA"/>
    <w:rsid w:val="007C559D"/>
    <w:rsid w:val="007C7ADA"/>
    <w:rsid w:val="007D4B62"/>
    <w:rsid w:val="007D4D87"/>
    <w:rsid w:val="007E0756"/>
    <w:rsid w:val="007E346F"/>
    <w:rsid w:val="007E6B81"/>
    <w:rsid w:val="007F3B2A"/>
    <w:rsid w:val="007F7539"/>
    <w:rsid w:val="00801363"/>
    <w:rsid w:val="00814A1C"/>
    <w:rsid w:val="0082289F"/>
    <w:rsid w:val="00823710"/>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0AE"/>
    <w:rsid w:val="008902CE"/>
    <w:rsid w:val="00890F98"/>
    <w:rsid w:val="00891895"/>
    <w:rsid w:val="00892CFF"/>
    <w:rsid w:val="0089451F"/>
    <w:rsid w:val="008A0160"/>
    <w:rsid w:val="008A1C7F"/>
    <w:rsid w:val="008A2903"/>
    <w:rsid w:val="008A3217"/>
    <w:rsid w:val="008A48A6"/>
    <w:rsid w:val="008A5A92"/>
    <w:rsid w:val="008B052B"/>
    <w:rsid w:val="008B2DF3"/>
    <w:rsid w:val="008C251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57155"/>
    <w:rsid w:val="00960640"/>
    <w:rsid w:val="00961DA7"/>
    <w:rsid w:val="00967CE2"/>
    <w:rsid w:val="00971D8B"/>
    <w:rsid w:val="00974C21"/>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3BE3"/>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63D"/>
    <w:rsid w:val="00BE1CE0"/>
    <w:rsid w:val="00BE2AAE"/>
    <w:rsid w:val="00BE3F37"/>
    <w:rsid w:val="00BE773F"/>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12DB"/>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059D"/>
    <w:rsid w:val="00DB195E"/>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90F46"/>
    <w:rsid w:val="00F95046"/>
    <w:rsid w:val="00FA01BC"/>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20"/>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042719">
      <w:bodyDiv w:val="1"/>
      <w:marLeft w:val="0"/>
      <w:marRight w:val="0"/>
      <w:marTop w:val="0"/>
      <w:marBottom w:val="0"/>
      <w:divBdr>
        <w:top w:val="none" w:sz="0" w:space="0" w:color="auto"/>
        <w:left w:val="none" w:sz="0" w:space="0" w:color="auto"/>
        <w:bottom w:val="none" w:sz="0" w:space="0" w:color="auto"/>
        <w:right w:val="none" w:sz="0" w:space="0" w:color="auto"/>
      </w:divBdr>
    </w:div>
    <w:div w:id="70278077">
      <w:bodyDiv w:val="1"/>
      <w:marLeft w:val="0"/>
      <w:marRight w:val="0"/>
      <w:marTop w:val="0"/>
      <w:marBottom w:val="0"/>
      <w:divBdr>
        <w:top w:val="none" w:sz="0" w:space="0" w:color="auto"/>
        <w:left w:val="none" w:sz="0" w:space="0" w:color="auto"/>
        <w:bottom w:val="none" w:sz="0" w:space="0" w:color="auto"/>
        <w:right w:val="none" w:sz="0" w:space="0" w:color="auto"/>
      </w:divBdr>
    </w:div>
    <w:div w:id="122161061">
      <w:bodyDiv w:val="1"/>
      <w:marLeft w:val="0"/>
      <w:marRight w:val="0"/>
      <w:marTop w:val="0"/>
      <w:marBottom w:val="0"/>
      <w:divBdr>
        <w:top w:val="none" w:sz="0" w:space="0" w:color="auto"/>
        <w:left w:val="none" w:sz="0" w:space="0" w:color="auto"/>
        <w:bottom w:val="none" w:sz="0" w:space="0" w:color="auto"/>
        <w:right w:val="none" w:sz="0" w:space="0" w:color="auto"/>
      </w:divBdr>
    </w:div>
    <w:div w:id="581597595">
      <w:bodyDiv w:val="1"/>
      <w:marLeft w:val="0"/>
      <w:marRight w:val="0"/>
      <w:marTop w:val="0"/>
      <w:marBottom w:val="0"/>
      <w:divBdr>
        <w:top w:val="none" w:sz="0" w:space="0" w:color="auto"/>
        <w:left w:val="none" w:sz="0" w:space="0" w:color="auto"/>
        <w:bottom w:val="none" w:sz="0" w:space="0" w:color="auto"/>
        <w:right w:val="none" w:sz="0" w:space="0" w:color="auto"/>
      </w:divBdr>
    </w:div>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02442965">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44175172">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35095062">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122070561">
      <w:bodyDiv w:val="1"/>
      <w:marLeft w:val="0"/>
      <w:marRight w:val="0"/>
      <w:marTop w:val="0"/>
      <w:marBottom w:val="0"/>
      <w:divBdr>
        <w:top w:val="none" w:sz="0" w:space="0" w:color="auto"/>
        <w:left w:val="none" w:sz="0" w:space="0" w:color="auto"/>
        <w:bottom w:val="none" w:sz="0" w:space="0" w:color="auto"/>
        <w:right w:val="none" w:sz="0" w:space="0" w:color="auto"/>
      </w:divBdr>
    </w:div>
    <w:div w:id="1136415808">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53826658">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78775105">
      <w:bodyDiv w:val="1"/>
      <w:marLeft w:val="0"/>
      <w:marRight w:val="0"/>
      <w:marTop w:val="0"/>
      <w:marBottom w:val="0"/>
      <w:divBdr>
        <w:top w:val="none" w:sz="0" w:space="0" w:color="auto"/>
        <w:left w:val="none" w:sz="0" w:space="0" w:color="auto"/>
        <w:bottom w:val="none" w:sz="0" w:space="0" w:color="auto"/>
        <w:right w:val="none" w:sz="0" w:space="0" w:color="auto"/>
      </w:divBdr>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765762807">
      <w:bodyDiv w:val="1"/>
      <w:marLeft w:val="0"/>
      <w:marRight w:val="0"/>
      <w:marTop w:val="0"/>
      <w:marBottom w:val="0"/>
      <w:divBdr>
        <w:top w:val="none" w:sz="0" w:space="0" w:color="auto"/>
        <w:left w:val="none" w:sz="0" w:space="0" w:color="auto"/>
        <w:bottom w:val="none" w:sz="0" w:space="0" w:color="auto"/>
        <w:right w:val="none" w:sz="0" w:space="0" w:color="auto"/>
      </w:divBdr>
      <w:divsChild>
        <w:div w:id="267010425">
          <w:marLeft w:val="0"/>
          <w:marRight w:val="0"/>
          <w:marTop w:val="0"/>
          <w:marBottom w:val="0"/>
          <w:divBdr>
            <w:top w:val="none" w:sz="0" w:space="0" w:color="auto"/>
            <w:left w:val="none" w:sz="0" w:space="0" w:color="auto"/>
            <w:bottom w:val="none" w:sz="0" w:space="0" w:color="auto"/>
            <w:right w:val="none" w:sz="0" w:space="0" w:color="auto"/>
          </w:divBdr>
        </w:div>
      </w:divsChild>
    </w:div>
    <w:div w:id="1798061199">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894848324">
      <w:bodyDiv w:val="1"/>
      <w:marLeft w:val="0"/>
      <w:marRight w:val="0"/>
      <w:marTop w:val="0"/>
      <w:marBottom w:val="0"/>
      <w:divBdr>
        <w:top w:val="none" w:sz="0" w:space="0" w:color="auto"/>
        <w:left w:val="none" w:sz="0" w:space="0" w:color="auto"/>
        <w:bottom w:val="none" w:sz="0" w:space="0" w:color="auto"/>
        <w:right w:val="none" w:sz="0" w:space="0" w:color="auto"/>
      </w:divBdr>
    </w:div>
    <w:div w:id="192756861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702">
      <w:bodyDiv w:val="1"/>
      <w:marLeft w:val="0"/>
      <w:marRight w:val="0"/>
      <w:marTop w:val="0"/>
      <w:marBottom w:val="0"/>
      <w:divBdr>
        <w:top w:val="none" w:sz="0" w:space="0" w:color="auto"/>
        <w:left w:val="none" w:sz="0" w:space="0" w:color="auto"/>
        <w:bottom w:val="none" w:sz="0" w:space="0" w:color="auto"/>
        <w:right w:val="none" w:sz="0" w:space="0" w:color="auto"/>
      </w:divBdr>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 w:id="2049605087">
      <w:bodyDiv w:val="1"/>
      <w:marLeft w:val="0"/>
      <w:marRight w:val="0"/>
      <w:marTop w:val="0"/>
      <w:marBottom w:val="0"/>
      <w:divBdr>
        <w:top w:val="none" w:sz="0" w:space="0" w:color="auto"/>
        <w:left w:val="none" w:sz="0" w:space="0" w:color="auto"/>
        <w:bottom w:val="none" w:sz="0" w:space="0" w:color="auto"/>
        <w:right w:val="none" w:sz="0" w:space="0" w:color="auto"/>
      </w:divBdr>
    </w:div>
    <w:div w:id="2050959069">
      <w:bodyDiv w:val="1"/>
      <w:marLeft w:val="0"/>
      <w:marRight w:val="0"/>
      <w:marTop w:val="0"/>
      <w:marBottom w:val="0"/>
      <w:divBdr>
        <w:top w:val="none" w:sz="0" w:space="0" w:color="auto"/>
        <w:left w:val="none" w:sz="0" w:space="0" w:color="auto"/>
        <w:bottom w:val="none" w:sz="0" w:space="0" w:color="auto"/>
        <w:right w:val="none" w:sz="0" w:space="0" w:color="auto"/>
      </w:divBdr>
    </w:div>
    <w:div w:id="2106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tax.gov.ua/deklaratsiyna-kampaniya-2023/viznachennya-minimalnogo-podatkovogo-zobovyazannya-dlya-fizichnih-os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E5FA9-FBC9-4206-B34B-5C164D3B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5</cp:revision>
  <cp:lastPrinted>2021-08-13T12:28:00Z</cp:lastPrinted>
  <dcterms:created xsi:type="dcterms:W3CDTF">2023-04-14T12:18:00Z</dcterms:created>
  <dcterms:modified xsi:type="dcterms:W3CDTF">2023-05-19T13:49:00Z</dcterms:modified>
</cp:coreProperties>
</file>