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194F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-</w:t>
      </w:r>
      <w:r w:rsidR="00A76E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березень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</w:t>
      </w:r>
      <w:r w:rsidR="00945F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3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0F0382" w:rsidRDefault="009F6387" w:rsidP="00B12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ким чином мож</w:t>
      </w:r>
      <w:r w:rsidR="0084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отримати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копії 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статутних документів </w:t>
      </w:r>
      <w:r w:rsidR="009F1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територіального 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ДПС</w:t>
      </w:r>
      <w:r w:rsidR="006E2D10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9F114C" w:rsidRDefault="009F114C" w:rsidP="009F114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Копії</w:t>
      </w:r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статутних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або інших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правоустановчих</w:t>
      </w:r>
      <w:proofErr w:type="spellEnd"/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документів органу ДПС</w:t>
      </w:r>
      <w:r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 можуть отримати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02.10.1992 № 2657-ХІІ «Про інформацію»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від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13 січня 2011 року №2939-</w:t>
      </w:r>
      <w:r w:rsidR="00304640"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(далі – Закон № 2939)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>в межах запиту на публічну інформацію.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статті 19 Закону України від 13 січня 2011 року №2939-</w:t>
      </w:r>
      <w:r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 (далі – Закон № 2939)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Згідно зі ст.1 Закону №2939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єктами владних повноважень своїх обов'язків, передбачених чинним законодавством, або яка знаходиться у володінні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єктів владних повноважень, інших розпорядників публічної інформації, визначених цим Законом. Тобто задоволення запиту не вимагає створення нової інформації та не потребує проведення аналітичної роботи.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Крім того, як зазначено у Постанові Пленуму Вищого адміністративного суду України від 29 вересня 2016 року №10 «Про практику застосування адміністративними судами законодавства про доступ до публічної інформації», визначальним для публічної інформації є те, що вона заздалегідь зафіксована будь-якими засобами та на будь-яких носіях та знаходилась у володінні суб'єктів владних повноважень, інших розпорядників публічної інформації.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 xml:space="preserve">Відповідно п.2 ст.6 </w:t>
      </w:r>
      <w:r w:rsidRPr="009F114C">
        <w:rPr>
          <w:sz w:val="28"/>
          <w:szCs w:val="28"/>
          <w:lang w:val="uk-UA" w:eastAsia="ar-SA"/>
        </w:rPr>
        <w:t>Закону № 2939</w:t>
      </w:r>
      <w:r w:rsidRPr="009F114C">
        <w:rPr>
          <w:sz w:val="28"/>
          <w:szCs w:val="28"/>
          <w:lang w:val="uk-UA"/>
        </w:rPr>
        <w:t xml:space="preserve"> обмеження доступу до інформації здійснюється відповідно до закону при дотриманні сукупності таких вимог: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1)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</w:rPr>
      </w:pPr>
      <w:r w:rsidRPr="009F114C">
        <w:rPr>
          <w:sz w:val="28"/>
          <w:szCs w:val="28"/>
        </w:rPr>
        <w:t xml:space="preserve">2) </w:t>
      </w:r>
      <w:proofErr w:type="spellStart"/>
      <w:r w:rsidRPr="009F114C">
        <w:rPr>
          <w:sz w:val="28"/>
          <w:szCs w:val="28"/>
        </w:rPr>
        <w:t>розголошення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інформації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може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завдати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істотної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шкоди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цим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інтересам</w:t>
      </w:r>
      <w:proofErr w:type="spellEnd"/>
      <w:r w:rsidRPr="009F114C">
        <w:rPr>
          <w:sz w:val="28"/>
          <w:szCs w:val="28"/>
        </w:rPr>
        <w:t>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3) шкода від оприлюднення такої інформації переважає суспільний інтерес в її отриманні.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запиту на отримання інформації у паперовому вигляді,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запитуваної інформації перевищує 10 сторінок,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наступне.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21 Закону № 2939 у разі, якщо задоволення запиту на інформацію передбачає виготовлення копій документів обсягом більш, як 10 сторінок, запитувач зобов'язаний відшкодувати фактичні витрати на копіювання та друк.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Розмір фактичних витрат визначено положеннями наказу Міністерства фінансів України від 12.05.2021 № 259 «Про затвердження Розміру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 та Порядку відшкодування цих витрат (далі – наказ  МФУ № 259). 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статті 21 Закону № 2939 та керуючись приписами наказу МФУ № 259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орган ДПС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- розпорядник інформації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01F" w:rsidRPr="00304640">
        <w:rPr>
          <w:rFonts w:ascii="Times New Roman" w:hAnsi="Times New Roman" w:cs="Times New Roman"/>
          <w:sz w:val="28"/>
          <w:szCs w:val="28"/>
          <w:lang w:val="uk-UA"/>
        </w:rPr>
        <w:t>надсила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на адресу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запитувача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перші 10 сторінок запитуваної інформації та рахунок на відшкодування фактичних витрат на копіювання або друк документів, що надаються за запитом на інформацію. </w:t>
      </w:r>
    </w:p>
    <w:p w:rsidR="009F114C" w:rsidRPr="009F114C" w:rsidRDefault="009F114C" w:rsidP="0064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разі підтвердження факту оплати рахунку на відшкодування фактичних витрат на копіювання або друк документів,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орган ДПС - розпорядник інформації </w:t>
      </w:r>
      <w:r w:rsidR="006470FF">
        <w:rPr>
          <w:rFonts w:ascii="Times New Roman" w:hAnsi="Times New Roman" w:cs="Times New Roman"/>
          <w:sz w:val="28"/>
          <w:szCs w:val="28"/>
          <w:lang w:val="uk-UA"/>
        </w:rPr>
        <w:t xml:space="preserve">надсилає 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E716A3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запитувача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0FF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залишок запитуваних документів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>протягом трьох робочих днів.</w:t>
      </w:r>
    </w:p>
    <w:p w:rsidR="00642087" w:rsidRDefault="00642087" w:rsidP="00642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087" w:rsidRDefault="00642087" w:rsidP="006420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</w:t>
      </w:r>
      <w:r>
        <w:t xml:space="preserve"> </w:t>
      </w: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Хто є платниками земельного податку?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14.1.147 п. 14.1 ст. 14 Податкового кодексу України від 02 грудня 2010 року № 2755-VI зі змінами та доповненнями (далі – ПКУ) плата за землю – це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Земельний податок – обов’язковий платіж, що справляється з власників земельних ділянок та земельних часток (паїв), а також постійних землекористувачів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>. 14.1.72 п. 14.1 ст. 14 ПКУ). Власники земельних ділянок – це юридичні та фізичні особи (резиденти і нерезиденти), які відповідно до закону набули права власності на землю в Україні, а також територіальні громади та держава щодо земель комунальної та державної власності відповідно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14.1.34 п. 14.1 ст. 14 ПКУ).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14.1.73 п. 14.1 ст. 14 ПКУ землекористувачі – це юридичні та фізичні особи (резиденти і нерезиденти), які користуються земельними ділянками державної та комунальної власності: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праві постійного користування;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269.1.1 п. 269.1 ст. 269 ПКУ встановлено, що платниками плати за землю є, зокрема, платники земельного податку: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власники земельних ділянок, земельних часток (паїв); </w:t>
      </w:r>
    </w:p>
    <w:p w:rsidR="00642087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землекористувачі, яким відповідно до закону надані у користування земельні ділянки державної та комунальної власності на правах постійного користування.</w:t>
      </w:r>
    </w:p>
    <w:p w:rsidR="000E6E9C" w:rsidRPr="000E6E9C" w:rsidRDefault="000E6E9C" w:rsidP="000E6E9C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 докладн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ь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посиланням: </w:t>
      </w:r>
    </w:p>
    <w:p w:rsidR="00642087" w:rsidRPr="000E6E9C" w:rsidRDefault="00642087" w:rsidP="000E6E9C">
      <w:pPr>
        <w:spacing w:after="0" w:line="240" w:lineRule="auto"/>
        <w:rPr>
          <w:rStyle w:val="a5"/>
          <w:sz w:val="28"/>
          <w:szCs w:val="28"/>
        </w:rPr>
      </w:pPr>
      <w:r w:rsidRPr="000E6E9C">
        <w:rPr>
          <w:rStyle w:val="a5"/>
          <w:sz w:val="28"/>
          <w:szCs w:val="28"/>
        </w:rPr>
        <w:t>https://zir.tax.gov.ua/main/bz/view/?src=ques&amp;id=30179</w:t>
      </w:r>
    </w:p>
    <w:p w:rsidR="006470FF" w:rsidRDefault="006470FF" w:rsidP="000E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1379B" w:rsidRPr="0021379B" w:rsidRDefault="0021379B" w:rsidP="0021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 Хто звертається до держателя або реєстраторів Державного реєстру обтяжень рухомого майна та/або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реєстрів?</w:t>
      </w:r>
    </w:p>
    <w:p w:rsidR="0021379B" w:rsidRPr="0021379B" w:rsidRDefault="0021379B" w:rsidP="00FE72A7">
      <w:pPr>
        <w:pStyle w:val="20"/>
        <w:shd w:val="clear" w:color="auto" w:fill="auto"/>
        <w:spacing w:after="0" w:line="283" w:lineRule="exact"/>
        <w:ind w:firstLine="4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звільнення майна платника податків з-під податкової застави орган ДПС звертається до Міністерства юстиції України або реєстраторів Державного реєстру обтяжень рухомого майна (далі - Державний реєстр) та/або Державного реєстру речових прав на нерухоме майно (далі - Державний реєстр прав) із заявою про припинення обтяження і виключення запису щодо обтяження рухомого та нерухомого майна з відповідних реєстрів.</w:t>
      </w:r>
    </w:p>
    <w:p w:rsidR="0021379B" w:rsidRDefault="0021379B" w:rsidP="00FE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Якщо після погашення заборгованості та припинення податкової застави обтяження не виключено з Державного реєстру або з Державного реєстру прав, то платнику податків необхідно письмово звернутися до органу ДПС за своїм місцем обліку щодо такого виключення.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21379B" w:rsidRPr="000E6E9C" w:rsidRDefault="0021379B" w:rsidP="00FE72A7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 докладн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ь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посиланням: </w:t>
      </w:r>
    </w:p>
    <w:p w:rsidR="0021379B" w:rsidRPr="0021379B" w:rsidRDefault="0021379B" w:rsidP="0021379B">
      <w:pPr>
        <w:spacing w:after="0" w:line="240" w:lineRule="auto"/>
        <w:rPr>
          <w:rStyle w:val="a5"/>
          <w:sz w:val="28"/>
          <w:szCs w:val="28"/>
        </w:rPr>
      </w:pPr>
      <w:r w:rsidRPr="0021379B">
        <w:rPr>
          <w:rStyle w:val="a5"/>
          <w:sz w:val="28"/>
          <w:szCs w:val="28"/>
        </w:rPr>
        <w:t>https://zir.tax.gov.ua/main/bz/view/?src=ques&amp;id=12302</w:t>
      </w:r>
    </w:p>
    <w:p w:rsidR="0021379B" w:rsidRPr="0021379B" w:rsidRDefault="0021379B" w:rsidP="0021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sectPr w:rsidR="0021379B" w:rsidRPr="0021379B" w:rsidSect="008C09B3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78" w:rsidRDefault="00BB5C78" w:rsidP="008C09B3">
      <w:pPr>
        <w:spacing w:after="0" w:line="240" w:lineRule="auto"/>
      </w:pPr>
      <w:r>
        <w:separator/>
      </w:r>
    </w:p>
  </w:endnote>
  <w:endnote w:type="continuationSeparator" w:id="0">
    <w:p w:rsidR="00BB5C78" w:rsidRDefault="00BB5C78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78" w:rsidRDefault="00BB5C78" w:rsidP="008C09B3">
      <w:pPr>
        <w:spacing w:after="0" w:line="240" w:lineRule="auto"/>
      </w:pPr>
      <w:r>
        <w:separator/>
      </w:r>
    </w:p>
  </w:footnote>
  <w:footnote w:type="continuationSeparator" w:id="0">
    <w:p w:rsidR="00BB5C78" w:rsidRDefault="00BB5C78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8263A2">
        <w:pPr>
          <w:pStyle w:val="a8"/>
          <w:jc w:val="center"/>
        </w:pPr>
        <w:fldSimple w:instr=" PAGE   \* MERGEFORMAT ">
          <w:r w:rsidR="00FE72A7">
            <w:rPr>
              <w:noProof/>
            </w:rPr>
            <w:t>3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E51DC"/>
    <w:rsid w:val="000E6E9C"/>
    <w:rsid w:val="000F0382"/>
    <w:rsid w:val="00144426"/>
    <w:rsid w:val="001511DE"/>
    <w:rsid w:val="00194FB0"/>
    <w:rsid w:val="001A1739"/>
    <w:rsid w:val="001B728D"/>
    <w:rsid w:val="001D0839"/>
    <w:rsid w:val="001D29B2"/>
    <w:rsid w:val="001F56AE"/>
    <w:rsid w:val="0021379B"/>
    <w:rsid w:val="0024022A"/>
    <w:rsid w:val="002419D3"/>
    <w:rsid w:val="002A1927"/>
    <w:rsid w:val="002C1A21"/>
    <w:rsid w:val="002C44C2"/>
    <w:rsid w:val="002E18BF"/>
    <w:rsid w:val="00304640"/>
    <w:rsid w:val="0035764C"/>
    <w:rsid w:val="00380CE7"/>
    <w:rsid w:val="00394308"/>
    <w:rsid w:val="003B1A85"/>
    <w:rsid w:val="00437656"/>
    <w:rsid w:val="004C6ADB"/>
    <w:rsid w:val="004D24E6"/>
    <w:rsid w:val="005215FB"/>
    <w:rsid w:val="00564F33"/>
    <w:rsid w:val="00573468"/>
    <w:rsid w:val="005A721D"/>
    <w:rsid w:val="005E7E85"/>
    <w:rsid w:val="00622A30"/>
    <w:rsid w:val="0062419A"/>
    <w:rsid w:val="00631537"/>
    <w:rsid w:val="00642087"/>
    <w:rsid w:val="006470FF"/>
    <w:rsid w:val="0065496A"/>
    <w:rsid w:val="00662438"/>
    <w:rsid w:val="006646F2"/>
    <w:rsid w:val="00664974"/>
    <w:rsid w:val="006E2D10"/>
    <w:rsid w:val="0073324B"/>
    <w:rsid w:val="00745D15"/>
    <w:rsid w:val="007512F9"/>
    <w:rsid w:val="0077213A"/>
    <w:rsid w:val="007B05CA"/>
    <w:rsid w:val="007E360F"/>
    <w:rsid w:val="0082301F"/>
    <w:rsid w:val="008263A2"/>
    <w:rsid w:val="0084067A"/>
    <w:rsid w:val="008450FE"/>
    <w:rsid w:val="008C09B3"/>
    <w:rsid w:val="008D09D8"/>
    <w:rsid w:val="00945FAC"/>
    <w:rsid w:val="009839D0"/>
    <w:rsid w:val="00984B63"/>
    <w:rsid w:val="00985A43"/>
    <w:rsid w:val="009E40EB"/>
    <w:rsid w:val="009F114C"/>
    <w:rsid w:val="009F6387"/>
    <w:rsid w:val="00A30501"/>
    <w:rsid w:val="00A339D9"/>
    <w:rsid w:val="00A36B75"/>
    <w:rsid w:val="00A75685"/>
    <w:rsid w:val="00A76E3E"/>
    <w:rsid w:val="00A83B87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B074F"/>
    <w:rsid w:val="00D025FD"/>
    <w:rsid w:val="00D603DD"/>
    <w:rsid w:val="00D93572"/>
    <w:rsid w:val="00DA5AA5"/>
    <w:rsid w:val="00E23586"/>
    <w:rsid w:val="00E55E6A"/>
    <w:rsid w:val="00E716A3"/>
    <w:rsid w:val="00ED0BAF"/>
    <w:rsid w:val="00ED5C46"/>
    <w:rsid w:val="00F36C88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DAC9-B1D8-4DAC-8F60-DD02D82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4049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72</cp:revision>
  <cp:lastPrinted>2021-09-07T11:04:00Z</cp:lastPrinted>
  <dcterms:created xsi:type="dcterms:W3CDTF">2021-06-23T10:37:00Z</dcterms:created>
  <dcterms:modified xsi:type="dcterms:W3CDTF">2023-04-03T08:22:00Z</dcterms:modified>
</cp:coreProperties>
</file>