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F" w:rsidRDefault="004049B2">
      <w:r>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2C716F" w:rsidRPr="00B31800" w:rsidRDefault="002C716F" w:rsidP="00413F2C">
                  <w:pPr>
                    <w:spacing w:after="0" w:line="240" w:lineRule="auto"/>
                    <w:rPr>
                      <w:rFonts w:ascii="e-Ukraine" w:hAnsi="e-Ukraine" w:cs="e-Ukraine"/>
                      <w:sz w:val="16"/>
                      <w:szCs w:val="16"/>
                    </w:rPr>
                  </w:pPr>
                </w:p>
                <w:p w:rsidR="002C716F" w:rsidRPr="006C0696" w:rsidRDefault="002C716F" w:rsidP="00413F2C">
                  <w:pPr>
                    <w:spacing w:after="0" w:line="240" w:lineRule="auto"/>
                    <w:rPr>
                      <w:rFonts w:ascii="e-Ukraine" w:hAnsi="e-Ukraine" w:cs="e-Ukraine"/>
                      <w:sz w:val="6"/>
                      <w:szCs w:val="6"/>
                    </w:rPr>
                  </w:pP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sidR="00C67C67">
        <w:rPr>
          <w:noProof/>
          <w:lang w:val="ru-RU" w:eastAsia="ru-RU"/>
        </w:rPr>
        <w:drawing>
          <wp:anchor distT="0" distB="0" distL="114300" distR="114300" simplePos="0" relativeHeight="251663360"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pic:spPr>
                </pic:pic>
              </a:graphicData>
            </a:graphic>
          </wp:anchor>
        </w:drawing>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4049B2">
      <w:r>
        <w:rPr>
          <w:noProof/>
          <w:lang w:val="ru-RU" w:eastAsia="ru-RU"/>
        </w:rPr>
        <w:pict>
          <v:shape id="Надпись 5" o:spid="_x0000_s1028" type="#_x0000_t202" style="position:absolute;margin-left:414pt;margin-top:19.9pt;width:351pt;height:95.8pt;z-index:251664384;visibility:visible;mso-position-horizontal-relative:margin" filled="f" stroked="f" strokeweight=".5pt">
            <v:textbox style="mso-next-textbox:#Надпись 5">
              <w:txbxContent>
                <w:p w:rsidR="00BB6B95" w:rsidRPr="00BB6B95" w:rsidRDefault="00BB6B95" w:rsidP="00BB6B95">
                  <w:pPr>
                    <w:spacing w:before="100" w:beforeAutospacing="1" w:after="100" w:afterAutospacing="1" w:line="240" w:lineRule="auto"/>
                    <w:jc w:val="center"/>
                    <w:outlineLvl w:val="0"/>
                    <w:rPr>
                      <w:rFonts w:ascii="e-Ukraine Bold" w:hAnsi="e-Ukraine Bold" w:cs="Times New Roman"/>
                      <w:b/>
                      <w:bCs/>
                      <w:kern w:val="36"/>
                      <w:sz w:val="30"/>
                      <w:szCs w:val="30"/>
                      <w:lang w:eastAsia="ru-RU"/>
                    </w:rPr>
                  </w:pPr>
                  <w:r w:rsidRPr="00BB6B95">
                    <w:rPr>
                      <w:rFonts w:ascii="e-Ukraine Bold" w:hAnsi="e-Ukraine Bold" w:cs="Times New Roman"/>
                      <w:b/>
                      <w:bCs/>
                      <w:kern w:val="36"/>
                      <w:sz w:val="30"/>
                      <w:szCs w:val="30"/>
                      <w:lang w:eastAsia="ru-RU"/>
                    </w:rPr>
                    <w:t>Визначення суми процентів, сплачених платником ПДФО за іпотечний житловий кредит з метою нарахування податкової знижки</w:t>
                  </w:r>
                </w:p>
                <w:p w:rsidR="002C716F" w:rsidRPr="00091301" w:rsidRDefault="002C716F" w:rsidP="00F15459">
                  <w:pPr>
                    <w:rPr>
                      <w:rFonts w:ascii="e-Ukraine Bold" w:hAnsi="e-Ukraine Bold"/>
                      <w:sz w:val="36"/>
                      <w:szCs w:val="36"/>
                    </w:rPr>
                  </w:pPr>
                </w:p>
              </w:txbxContent>
            </v:textbox>
            <w10:wrap anchorx="margin"/>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4049B2">
      <w:r>
        <w:rPr>
          <w:noProof/>
          <w:lang w:val="ru-RU" w:eastAsia="ru-RU"/>
        </w:rPr>
        <w:pict>
          <v:shape id="Поле 9" o:spid="_x0000_s1029" type="#_x0000_t202" style="position:absolute;margin-left:7in;margin-top:11.6pt;width:185.3pt;height:28.4pt;z-index:251651072;visibility:visible" filled="f" stroked="f" strokeweight=".5pt">
            <v:textbox style="mso-next-textbox:#Поле 9">
              <w:txbxContent>
                <w:p w:rsidR="002C716F" w:rsidRPr="00413F2C" w:rsidRDefault="00BB6B95" w:rsidP="00DD030F">
                  <w:pPr>
                    <w:rPr>
                      <w:rFonts w:ascii="e-Ukraine Bold" w:hAnsi="e-Ukraine Bold" w:cs="e-Ukraine Bold"/>
                      <w:b/>
                      <w:bCs/>
                      <w:i/>
                      <w:iCs/>
                      <w:sz w:val="28"/>
                      <w:szCs w:val="28"/>
                    </w:rPr>
                  </w:pPr>
                  <w:proofErr w:type="spellStart"/>
                  <w:r>
                    <w:rPr>
                      <w:rFonts w:ascii="e-Ukraine Bold" w:hAnsi="e-Ukraine Bold" w:cs="e-Ukraine Bold"/>
                      <w:b/>
                      <w:bCs/>
                      <w:i/>
                      <w:iCs/>
                      <w:sz w:val="28"/>
                      <w:szCs w:val="28"/>
                      <w:lang w:val="ru-RU"/>
                    </w:rPr>
                    <w:t>лютий</w:t>
                  </w:r>
                  <w:proofErr w:type="spellEnd"/>
                  <w:r w:rsidR="00602311">
                    <w:rPr>
                      <w:rFonts w:ascii="e-Ukraine Bold" w:hAnsi="e-Ukraine Bold" w:cs="e-Ukraine Bold"/>
                      <w:b/>
                      <w:bCs/>
                      <w:i/>
                      <w:iCs/>
                      <w:sz w:val="28"/>
                      <w:szCs w:val="28"/>
                      <w:lang w:val="ru-RU"/>
                    </w:rPr>
                    <w:t xml:space="preserve"> </w:t>
                  </w:r>
                  <w:r w:rsidR="002C716F" w:rsidRPr="00413F2C">
                    <w:rPr>
                      <w:rFonts w:ascii="e-Ukraine Bold" w:hAnsi="e-Ukraine Bold" w:cs="e-Ukraine Bold"/>
                      <w:b/>
                      <w:bCs/>
                      <w:i/>
                      <w:iCs/>
                      <w:sz w:val="28"/>
                      <w:szCs w:val="28"/>
                    </w:rPr>
                    <w:t>202</w:t>
                  </w:r>
                  <w:r w:rsidR="00F15459">
                    <w:rPr>
                      <w:rFonts w:ascii="e-Ukraine Bold" w:hAnsi="e-Ukraine Bold" w:cs="e-Ukraine Bold"/>
                      <w:b/>
                      <w:bCs/>
                      <w:i/>
                      <w:iCs/>
                      <w:sz w:val="28"/>
                      <w:szCs w:val="28"/>
                    </w:rPr>
                    <w:t>3</w:t>
                  </w:r>
                  <w:r w:rsidR="002C716F" w:rsidRPr="00413F2C">
                    <w:rPr>
                      <w:rFonts w:ascii="e-Ukraine Bold" w:hAnsi="e-Ukraine Bold" w:cs="e-Ukraine Bold"/>
                      <w:b/>
                      <w:bCs/>
                      <w:i/>
                      <w:iCs/>
                      <w:sz w:val="28"/>
                      <w:szCs w:val="28"/>
                    </w:rPr>
                    <w:t xml:space="preserve"> року</w:t>
                  </w:r>
                </w:p>
                <w:p w:rsidR="002C716F" w:rsidRPr="00E17569" w:rsidRDefault="002C716F" w:rsidP="00E17569"/>
              </w:txbxContent>
            </v:textbox>
          </v:shape>
        </w:pict>
      </w:r>
    </w:p>
    <w:p w:rsidR="002C716F" w:rsidRDefault="004049B2">
      <w:r>
        <w:rPr>
          <w:noProof/>
          <w:lang w:val="ru-RU" w:eastAsia="ru-RU"/>
        </w:rPr>
        <w:lastRenderedPageBreak/>
        <w:pict>
          <v:group id="Группа 92" o:spid="_x0000_s1030" style="position:absolute;margin-left:-15.4pt;margin-top:-21.9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rPr>
                        <w:t xml:space="preserve">Відділ комунікацій з громадськістю управління інформаційної взаємодії Головного управління ДПС у Дніпропетровській області (території обслуговування: Амур-Нижньодніпровський, Індустріальний та Самарський райони м. Дніпра) </w:t>
                      </w:r>
                      <w:r w:rsidRPr="00EA02CC">
                        <w:rPr>
                          <w:rFonts w:ascii="e-Ukraine" w:hAnsi="e-Ukraine" w:cs="Times New Roman"/>
                          <w:sz w:val="28"/>
                          <w:szCs w:val="28"/>
                          <w:lang w:eastAsia="ru-RU"/>
                        </w:rPr>
                        <w:t xml:space="preserve">інформує, що ст. 175 Податкового кодексу України (далі – ПКУ) встановлено порядок визначення суми процентів, сплачених платником податку на доходи фізичних осіб (далі – ПДФО) за користування іпотечним житловим кредитом з метою нарахування податкової знижки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 xml:space="preserve">Так, п. 175.1 ст. 175 ПКУ передбачено, що платник ПДФО – резидент має право включити до податкової знижки частину суми процентів за користування іпотечним житловим кредитом, наданим позичальнику в національній або іноземній валютах, фактично сплачених протягом звітного податкового року.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 xml:space="preserve">При сплаті процентів за іпотечним житловим кредитом в іноземній валюті сума платежів за такими процентами, здійснених в іноземній валюті, перераховується у гривні за офіційним валютним (обмінним) курсом Національного банку України, що діє на день сплати таких процентів.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Таке право виникає в разі якщо за рахунок іпотечного житлового кредиту будується чи купується житловий будинок (квартира, кімната), визначений платником податку як</w:t>
                      </w:r>
                      <w:r w:rsidRPr="00EA02CC">
                        <w:rPr>
                          <w:rFonts w:ascii="e-Ukraine" w:hAnsi="e-Ukraine" w:cs="Times New Roman"/>
                          <w:sz w:val="26"/>
                          <w:szCs w:val="26"/>
                          <w:lang w:eastAsia="ru-RU"/>
                        </w:rPr>
                        <w:t xml:space="preserve"> </w:t>
                      </w:r>
                      <w:r w:rsidRPr="00EA02CC">
                        <w:rPr>
                          <w:rFonts w:ascii="e-Ukraine" w:hAnsi="e-Ukraine" w:cs="Times New Roman"/>
                          <w:sz w:val="28"/>
                          <w:szCs w:val="28"/>
                          <w:lang w:eastAsia="ru-RU"/>
                        </w:rPr>
                        <w:t xml:space="preserve">основне місце його проживання, зокрема згідно з позначкою в паспорті про реєстрацію за місцезнаходженням такого житла.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Відповідно до п. 175.2 ст. 175 ПКУ, якщо будинок (квартира, кімната) купується за рахунок іпотечного житлового кредиту, частина суми процентів, що включається до податкової знижки платника податку – позичальника іпотечного житлового кредиту, дорівнює добутку суми процентів, фактично сплачених платником податку протягом звітного податкового року в рахунок його погашення, і коефіцієнта, що враховує</w:t>
                      </w:r>
                      <w:r w:rsidRPr="00EA02CC">
                        <w:rPr>
                          <w:rFonts w:ascii="Times New Roman" w:hAnsi="Times New Roman" w:cs="Times New Roman"/>
                          <w:sz w:val="28"/>
                          <w:szCs w:val="28"/>
                          <w:lang w:eastAsia="ru-RU"/>
                        </w:rPr>
                        <w:t> </w:t>
                      </w:r>
                      <w:r w:rsidRPr="00EA02CC">
                        <w:rPr>
                          <w:rFonts w:ascii="e-Ukraine" w:hAnsi="e-Ukraine" w:cs="Times New Roman"/>
                          <w:sz w:val="28"/>
                          <w:szCs w:val="28"/>
                          <w:lang w:eastAsia="ru-RU"/>
                        </w:rPr>
                        <w:t xml:space="preserve">мінімальну площу житла для визначення податкової знижки, розрахованого відповідно до п. 175.3 ст. 175 ПКУ.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У разі якщо будинок (квартиру, кімнату) збудовано за рахунок іпотечного житлового кредиту, частина суми процентів, що включається до податкової знижки платника податку – позичальника іпотечного житлового кредиту, нарахована в перший рік погашення такого кредиту, може бути включена до податкової знижки за результатами звітного податкового року, в якому збудований об'єкт житлової іпотеки переходить у власність</w:t>
                      </w:r>
                      <w:r w:rsidRPr="00EA02CC">
                        <w:rPr>
                          <w:rFonts w:ascii="e-Ukraine" w:hAnsi="e-Ukraine" w:cs="Times New Roman"/>
                          <w:sz w:val="26"/>
                          <w:szCs w:val="26"/>
                          <w:lang w:eastAsia="ru-RU"/>
                        </w:rPr>
                        <w:t xml:space="preserve"> </w:t>
                      </w:r>
                      <w:r w:rsidRPr="00EA02CC">
                        <w:rPr>
                          <w:rFonts w:ascii="e-Ukraine" w:hAnsi="e-Ukraine" w:cs="Times New Roman"/>
                          <w:sz w:val="28"/>
                          <w:szCs w:val="28"/>
                          <w:lang w:eastAsia="ru-RU"/>
                        </w:rPr>
                        <w:t>платника податку та починає використовуватися як основне місце проживання, з послідовним перенесенням права на включення до податкової знижки наступних щорічних фактично сплачених платником податку сум процентів протягом передбаченого п. 175.4 ст. 175 ПКУ строку дії права на включення частини таких процентів до податкової знижки. При цьому загальний розмір частини суми процентів, дозволених для включення до податкової знижки, дорівнює добутку суми процентів, фактично сплачених платником податку - позичальником протягом відповідного звітного податкового року, що враховується в погашення, і коефіцієнта, що враховує</w:t>
                      </w:r>
                      <w:r w:rsidRPr="00EA02CC">
                        <w:rPr>
                          <w:rFonts w:ascii="Times New Roman" w:hAnsi="Times New Roman" w:cs="Times New Roman"/>
                          <w:sz w:val="28"/>
                          <w:szCs w:val="28"/>
                          <w:lang w:eastAsia="ru-RU"/>
                        </w:rPr>
                        <w:t> </w:t>
                      </w:r>
                      <w:r w:rsidRPr="00EA02CC">
                        <w:rPr>
                          <w:rFonts w:ascii="e-Ukraine" w:hAnsi="e-Ukraine" w:cs="Times New Roman"/>
                          <w:sz w:val="28"/>
                          <w:szCs w:val="28"/>
                          <w:lang w:eastAsia="ru-RU"/>
                        </w:rPr>
                        <w:t xml:space="preserve">мінімальну площу житла для визначення податкової знижки, розрахованого відповідно до п. 175.3 ст. 175 ПКУ.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Нормами п. 175.3 ст. 175 ПКУ встановлено, що коефіцієнт, який враховує</w:t>
                      </w:r>
                      <w:r w:rsidRPr="00EA02CC">
                        <w:rPr>
                          <w:rFonts w:ascii="Times New Roman" w:hAnsi="Times New Roman" w:cs="Times New Roman"/>
                          <w:sz w:val="28"/>
                          <w:szCs w:val="28"/>
                          <w:lang w:eastAsia="ru-RU"/>
                        </w:rPr>
                        <w:t> </w:t>
                      </w:r>
                      <w:r w:rsidRPr="00EA02CC">
                        <w:rPr>
                          <w:rFonts w:ascii="e-Ukraine" w:hAnsi="e-Ukraine" w:cs="Times New Roman"/>
                          <w:sz w:val="28"/>
                          <w:szCs w:val="28"/>
                          <w:lang w:eastAsia="ru-RU"/>
                        </w:rPr>
                        <w:t xml:space="preserve">мінімальну площу житла для визначення податкової знижки на суму процентів за іпотечним житловим кредитом, обчислюється за такою формулою: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 xml:space="preserve">К = МП/ФП,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 xml:space="preserve">де К - коефіцієнт;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МП - мінімальна загальна площа житла, що</w:t>
                      </w:r>
                      <w:r w:rsidRPr="00EA02CC">
                        <w:rPr>
                          <w:rFonts w:ascii="e-Ukraine" w:hAnsi="e-Ukraine" w:cs="Times New Roman"/>
                          <w:sz w:val="26"/>
                          <w:szCs w:val="26"/>
                          <w:lang w:eastAsia="ru-RU"/>
                        </w:rPr>
                        <w:t xml:space="preserve"> </w:t>
                      </w:r>
                      <w:r w:rsidRPr="00EA02CC">
                        <w:rPr>
                          <w:rFonts w:ascii="e-Ukraine" w:hAnsi="e-Ukraine" w:cs="Times New Roman"/>
                          <w:sz w:val="28"/>
                          <w:szCs w:val="28"/>
                          <w:lang w:eastAsia="ru-RU"/>
                        </w:rPr>
                        <w:t xml:space="preserve">дорівнює 100 квадратним метрам;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 xml:space="preserve">ФП - фактична загальна площа житла, що будується (придбавається) платником ПДФО за рахунок іпотечного кредиту.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 xml:space="preserve">У разі якщо цей коефіцієнт більший ніж одиниця, до податкової знижки включається сума фактично сплачених процентів за іпотечним кредитом без застосування такого коефіцієнта.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 xml:space="preserve">Згідно з п. 175.4 ст. 175 ПКУ право на включення до податкової знижки суми, розрахованої згідно з ст. 175 ПКУ, надається платнику ПДФО за одним іпотечним кредитом протягом 10 послідовних календарних років починаючи з року, в якому: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 xml:space="preserve">- об'єкт житлової іпотеки придбавається;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 xml:space="preserve">- збудований об'єкт житлової іпотеки переходить у власність платника ПДФО та починає використовуватися як основне місце проживання.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У разі якщо іпотечний житловий кредит має строк погашення більше ніж 10</w:t>
                      </w:r>
                      <w:r w:rsidRPr="00EA02CC">
                        <w:rPr>
                          <w:rFonts w:ascii="Times New Roman" w:hAnsi="Times New Roman" w:cs="Times New Roman"/>
                          <w:sz w:val="28"/>
                          <w:szCs w:val="28"/>
                          <w:lang w:eastAsia="ru-RU"/>
                        </w:rPr>
                        <w:t> </w:t>
                      </w:r>
                      <w:r w:rsidRPr="00EA02CC">
                        <w:rPr>
                          <w:rFonts w:ascii="e-Ukraine" w:hAnsi="e-Ukraine" w:cs="Times New Roman"/>
                          <w:sz w:val="28"/>
                          <w:szCs w:val="28"/>
                          <w:lang w:eastAsia="ru-RU"/>
                        </w:rPr>
                        <w:t>календарних років, право на включення частини</w:t>
                      </w:r>
                      <w:r w:rsidRPr="00EA02CC">
                        <w:rPr>
                          <w:rFonts w:ascii="e-Ukraine" w:hAnsi="e-Ukraine" w:cs="Times New Roman"/>
                          <w:sz w:val="26"/>
                          <w:szCs w:val="26"/>
                          <w:lang w:eastAsia="ru-RU"/>
                        </w:rPr>
                        <w:t xml:space="preserve"> </w:t>
                      </w:r>
                      <w:r w:rsidRPr="00EA02CC">
                        <w:rPr>
                          <w:rFonts w:ascii="e-Ukraine" w:hAnsi="e-Ukraine" w:cs="Times New Roman"/>
                          <w:sz w:val="28"/>
                          <w:szCs w:val="28"/>
                          <w:lang w:eastAsia="ru-RU"/>
                        </w:rPr>
                        <w:t xml:space="preserve">суми процентів до податкової знижки за новим іпотечним житловим кредитом виникає у платника ПДФО після повного погашення основної суми та процентів попереднього іпотечного житлового кредиту.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 xml:space="preserve">Платник ПДФО може відновити право на включення частини суми процентів, фактично сплачених за новим іпотечним житловим кредитом, до податкової знижки без дотримання зазначених у ст. 175 ПКУ строків у разі: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 xml:space="preserve">а) примусового продажу або конфіскації об'єкта іпотеки у випадках, передбачених законом;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 xml:space="preserve">б) ліквідації об'єкта житлової іпотеки за рішенням місцевого органу виконавчої влади або органу місцевого самоврядування у випадках, передбачених законом;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 xml:space="preserve">в) зруйнування об'єкта житлової іпотеки або визнання його непридатним для використання з причин непереборної сили (форс-мажорних обставин);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 xml:space="preserve">г) продажу об'єкта іпотеки у зв'язку з неплатоспроможністю (банкрутством) платника податку відповідно до закону. </w:t>
                      </w:r>
                    </w:p>
                    <w:p w:rsidR="00BB6B95" w:rsidRPr="00EA02CC" w:rsidRDefault="00BB6B95" w:rsidP="00BB6B95">
                      <w:pPr>
                        <w:spacing w:after="0" w:line="240" w:lineRule="auto"/>
                        <w:ind w:firstLine="567"/>
                        <w:jc w:val="both"/>
                        <w:rPr>
                          <w:rFonts w:ascii="e-Ukraine" w:hAnsi="e-Ukraine" w:cs="Times New Roman"/>
                          <w:sz w:val="28"/>
                          <w:szCs w:val="28"/>
                          <w:lang w:eastAsia="ru-RU"/>
                        </w:rPr>
                      </w:pPr>
                      <w:r w:rsidRPr="00EA02CC">
                        <w:rPr>
                          <w:rFonts w:ascii="e-Ukraine" w:hAnsi="e-Ukraine" w:cs="Times New Roman"/>
                          <w:sz w:val="28"/>
                          <w:szCs w:val="28"/>
                          <w:lang w:eastAsia="ru-RU"/>
                        </w:rPr>
                        <w:t xml:space="preserve">У разі якщо сума одержаного фізичною особою іпотечного житлового кредиту перевищує суму, витрачену на придбання (будівництво) предмета іпотеки, до складу витрат включається сума відсотків, сплачена за користування іпотечним кредитом у частині, витраченій за цільовим призначенням (п. 175.5 ст. 175 ПКУ). </w:t>
                      </w:r>
                    </w:p>
                    <w:p w:rsidR="00BB6B95" w:rsidRPr="00EA02CC" w:rsidRDefault="00BB6B95" w:rsidP="00BB6B95">
                      <w:pPr>
                        <w:spacing w:after="0"/>
                        <w:ind w:firstLine="567"/>
                        <w:rPr>
                          <w:rFonts w:ascii="e-Ukraine" w:hAnsi="e-Ukraine"/>
                          <w:sz w:val="28"/>
                          <w:szCs w:val="28"/>
                        </w:rPr>
                      </w:pPr>
                    </w:p>
                    <w:p w:rsidR="002C716F" w:rsidRPr="00EA02CC" w:rsidRDefault="002C716F" w:rsidP="000B6BBB">
                      <w:pPr>
                        <w:rPr>
                          <w:rFonts w:ascii="e-Ukraine" w:hAnsi="e-Ukraine"/>
                          <w:sz w:val="28"/>
                          <w:szCs w:val="28"/>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2C716F" w:rsidRPr="00EE0AF6" w:rsidRDefault="002C716F"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2C716F" w:rsidRPr="00CA1C7A" w:rsidRDefault="002C716F" w:rsidP="005B2E53">
                        <w:pPr>
                          <w:jc w:val="center"/>
                          <w:rPr>
                            <w:b/>
                            <w:bCs/>
                            <w:color w:val="BFBFBF"/>
                          </w:rPr>
                        </w:pPr>
                        <w:r>
                          <w:rPr>
                            <w:b/>
                            <w:bCs/>
                            <w:color w:val="BFBFBF"/>
                          </w:rPr>
                          <w:t>7</w:t>
                        </w:r>
                      </w:p>
                    </w:txbxContent>
                  </v:textbox>
                </v:shape>
              </v:group>
            </v:group>
          </v:group>
        </w:pict>
      </w:r>
      <w:r w:rsidR="00C67C67">
        <w:rPr>
          <w:noProof/>
          <w:lang w:val="ru-RU" w:eastAsia="ru-RU"/>
        </w:rPr>
        <w:drawing>
          <wp:anchor distT="0" distB="0" distL="114300" distR="114300" simplePos="0" relativeHeight="251654144"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21" name="Рисунок 13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pic:spPr>
                </pic:pic>
              </a:graphicData>
            </a:graphic>
          </wp:anchor>
        </w:drawing>
      </w:r>
      <w:r w:rsidR="00C67C67">
        <w:rPr>
          <w:noProof/>
          <w:lang w:val="ru-RU" w:eastAsia="ru-RU"/>
        </w:rPr>
        <w:drawing>
          <wp:anchor distT="0" distB="0" distL="114300" distR="114300" simplePos="0" relativeHeight="25165516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22" name="Рисунок 2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pic:spPr>
                </pic:pic>
              </a:graphicData>
            </a:graphic>
          </wp:anchor>
        </w:drawing>
      </w: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Default="002C716F" w:rsidP="005B38A6">
      <w:pPr>
        <w:tabs>
          <w:tab w:val="left" w:pos="8680"/>
        </w:tabs>
      </w:pPr>
      <w:r>
        <w:tab/>
      </w:r>
    </w:p>
    <w:p w:rsidR="002C716F" w:rsidRDefault="002C716F"/>
    <w:p w:rsidR="002C716F" w:rsidRDefault="002C716F"/>
    <w:p w:rsidR="002C716F" w:rsidRDefault="002C716F"/>
    <w:p w:rsidR="002C716F" w:rsidRDefault="002C716F"/>
    <w:p w:rsidR="002C716F" w:rsidRDefault="002C716F"/>
    <w:p w:rsidR="002C716F" w:rsidRDefault="002C716F" w:rsidP="00311D09">
      <w:pPr>
        <w:jc w:val="center"/>
      </w:pP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C67C67">
      <w:r>
        <w:rPr>
          <w:noProof/>
          <w:lang w:val="ru-RU" w:eastAsia="ru-RU"/>
        </w:rPr>
        <w:lastRenderedPageBreak/>
        <w:drawing>
          <wp:anchor distT="0" distB="0" distL="114300" distR="114300" simplePos="0" relativeHeight="251661312"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23" name="Рисунок 23"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60288"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24" name="Рисунок 24"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sidR="004049B2">
        <w:rPr>
          <w:noProof/>
          <w:lang w:val="ru-RU" w:eastAsia="ru-RU"/>
        </w:rPr>
        <w:pict>
          <v:shape id="Поле 10" o:spid="_x0000_s1049" type="#_x0000_t202" style="position:absolute;margin-left:-12pt;margin-top:2.8pt;width:371.9pt;height:49.3pt;z-index:251652096;visibility:visible;mso-position-horizontal-relative:text;mso-position-vertical-relative:text" filled="f" stroked="f" strokeweight=".5pt">
            <v:textbox style="mso-next-textbox:#Поле 10">
              <w:txbxContent>
                <w:p w:rsidR="002C716F" w:rsidRPr="00A80352" w:rsidRDefault="002C716F" w:rsidP="00A80352"/>
              </w:txbxContent>
            </v:textbox>
            <w10:anchorlock/>
          </v:shape>
        </w:pict>
      </w:r>
    </w:p>
    <w:p w:rsidR="002C716F" w:rsidRDefault="002C716F"/>
    <w:p w:rsidR="002C716F" w:rsidRDefault="002C716F"/>
    <w:p w:rsidR="002C716F" w:rsidRDefault="002C716F"/>
    <w:p w:rsidR="002C716F" w:rsidRDefault="002C716F"/>
    <w:p w:rsidR="002C716F" w:rsidRDefault="002C716F" w:rsidP="002D3378">
      <w:pPr>
        <w:jc w:val="center"/>
      </w:pPr>
    </w:p>
    <w:p w:rsidR="002C716F" w:rsidRDefault="002C716F"/>
    <w:p w:rsidR="002C716F" w:rsidRDefault="002C716F"/>
    <w:p w:rsidR="002C716F" w:rsidRDefault="002C716F"/>
    <w:p w:rsidR="002C716F" w:rsidRDefault="002C716F" w:rsidP="00C67C67">
      <w:pPr>
        <w:jc w:val="right"/>
      </w:pPr>
    </w:p>
    <w:p w:rsidR="002C716F" w:rsidRDefault="002C716F"/>
    <w:p w:rsidR="002C716F" w:rsidRDefault="002C716F"/>
    <w:p w:rsidR="002C716F" w:rsidRDefault="002C716F"/>
    <w:p w:rsidR="002C716F" w:rsidRDefault="002C716F"/>
    <w:p w:rsidR="002C716F" w:rsidRPr="0088080D" w:rsidRDefault="002C716F"/>
    <w:p w:rsidR="002C716F" w:rsidRDefault="002C716F"/>
    <w:p w:rsidR="002C716F" w:rsidRDefault="002C716F"/>
    <w:p w:rsidR="002C716F" w:rsidRDefault="002C716F"/>
    <w:p w:rsidR="002C716F" w:rsidRDefault="002C716F"/>
    <w:p w:rsidR="002C716F" w:rsidRDefault="004049B2">
      <w:r>
        <w:rPr>
          <w:noProof/>
          <w:lang w:val="ru-RU" w:eastAsia="ru-RU"/>
        </w:rPr>
        <w:pict>
          <v:group id="Группа 93" o:spid="_x0000_s1050" style="position:absolute;margin-left:-18pt;margin-top:-492.75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2C716F" w:rsidRPr="00EE0AF6" w:rsidRDefault="002C716F"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2C716F" w:rsidRPr="00CA1C7A" w:rsidRDefault="002C716F" w:rsidP="005B2E53">
                        <w:pPr>
                          <w:jc w:val="center"/>
                          <w:rPr>
                            <w:b/>
                            <w:bCs/>
                            <w:color w:val="BFBFBF"/>
                          </w:rPr>
                        </w:pPr>
                        <w:r>
                          <w:rPr>
                            <w:b/>
                            <w:bCs/>
                            <w:color w:val="BFBFBF"/>
                          </w:rPr>
                          <w:t>5</w:t>
                        </w:r>
                      </w:p>
                    </w:txbxContent>
                  </v:textbox>
                </v:shape>
              </v:group>
            </v:group>
            <w10:anchorlock/>
          </v:group>
        </w:pict>
      </w:r>
    </w:p>
    <w:p w:rsidR="002C716F" w:rsidRPr="0088080D" w:rsidRDefault="00C67C67" w:rsidP="00C67C67">
      <w:pPr>
        <w:tabs>
          <w:tab w:val="left" w:pos="14471"/>
        </w:tabs>
      </w:pPr>
      <w:r>
        <w:tab/>
      </w:r>
    </w:p>
    <w:p w:rsidR="002C716F" w:rsidRPr="0088080D" w:rsidRDefault="00C67C67">
      <w:r>
        <w:rPr>
          <w:noProof/>
          <w:lang w:val="ru-RU" w:eastAsia="ru-RU"/>
        </w:rPr>
        <w:lastRenderedPageBreak/>
        <w:drawing>
          <wp:anchor distT="0" distB="0" distL="114300" distR="114300" simplePos="0" relativeHeight="251658240" behindDoc="0" locked="1" layoutInCell="1" allowOverlap="1">
            <wp:simplePos x="0" y="0"/>
            <wp:positionH relativeFrom="column">
              <wp:posOffset>7175500</wp:posOffset>
            </wp:positionH>
            <wp:positionV relativeFrom="paragraph">
              <wp:posOffset>-222250</wp:posOffset>
            </wp:positionV>
            <wp:extent cx="600710" cy="307340"/>
            <wp:effectExtent l="19050" t="0" r="8890" b="0"/>
            <wp:wrapSquare wrapText="bothSides"/>
            <wp:docPr id="41" name="Рисунок 41"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57216" behindDoc="0" locked="1"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42" name="Рисунок 4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pic:spPr>
                </pic:pic>
              </a:graphicData>
            </a:graphic>
          </wp:anchor>
        </w:drawing>
      </w:r>
      <w:r w:rsidR="004049B2">
        <w:rPr>
          <w:noProof/>
          <w:lang w:val="ru-RU" w:eastAsia="ru-RU"/>
        </w:rPr>
        <w:pict>
          <v:group id="Группа 144" o:spid="_x0000_s1067" style="position:absolute;margin-left:-7pt;margin-top:-9.35pt;width:791.8pt;height:550.55pt;z-index:251656192;mso-position-horizontal-relative:text;mso-position-vertical-relative:text"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2C716F" w:rsidRPr="00CA1C7A" w:rsidRDefault="002C716F"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2C716F" w:rsidRPr="0087316D" w:rsidRDefault="002C716F" w:rsidP="005B2E53">
                        <w:pPr>
                          <w:jc w:val="center"/>
                          <w:rPr>
                            <w:b/>
                            <w:bCs/>
                            <w:color w:val="BFBFBF"/>
                          </w:rPr>
                        </w:pPr>
                        <w:r>
                          <w:rPr>
                            <w:b/>
                            <w:bCs/>
                            <w:color w:val="BFBFBF"/>
                          </w:rPr>
                          <w:t>3</w:t>
                        </w:r>
                      </w:p>
                    </w:txbxContent>
                  </v:textbox>
                </v:shape>
              </v:group>
            </v:group>
            <w10:anchorlock/>
          </v:group>
        </w:pict>
      </w: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rsidP="000C5AF4">
      <w:pPr>
        <w:jc w:val="right"/>
      </w:pP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rsidP="00C67C67">
      <w:pPr>
        <w:jc w:val="right"/>
      </w:pPr>
    </w:p>
    <w:p w:rsidR="002C716F" w:rsidRPr="0088080D" w:rsidRDefault="002C716F"/>
    <w:p w:rsidR="002C716F" w:rsidRPr="0088080D" w:rsidRDefault="002C716F"/>
    <w:sectPr w:rsidR="002C716F"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Times New Roman"/>
    <w:panose1 w:val="00000500000000000000"/>
    <w:charset w:val="CC"/>
    <w:family w:val="auto"/>
    <w:pitch w:val="variable"/>
    <w:sig w:usb0="00000207" w:usb1="00000001" w:usb2="00000000" w:usb3="00000000" w:csb0="00000097" w:csb1="00000000"/>
  </w:font>
  <w:font w:name="e-Ukraine Bold">
    <w:panose1 w:val="00000800000000000000"/>
    <w:charset w:val="CC"/>
    <w:family w:val="auto"/>
    <w:pitch w:val="variable"/>
    <w:sig w:usb0="00000207" w:usb1="00000001"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characterSpacingControl w:val="doNotCompress"/>
  <w:doNotValidateAgainstSchema/>
  <w:doNotDemarcateInvalidXml/>
  <w:compat/>
  <w:rsids>
    <w:rsidRoot w:val="00AB302E"/>
    <w:rsid w:val="00002837"/>
    <w:rsid w:val="00006C21"/>
    <w:rsid w:val="0001222B"/>
    <w:rsid w:val="000144B4"/>
    <w:rsid w:val="00016B68"/>
    <w:rsid w:val="000203D0"/>
    <w:rsid w:val="00021DF6"/>
    <w:rsid w:val="0002421E"/>
    <w:rsid w:val="000248ED"/>
    <w:rsid w:val="0002638A"/>
    <w:rsid w:val="00033E54"/>
    <w:rsid w:val="000479B3"/>
    <w:rsid w:val="00052D05"/>
    <w:rsid w:val="000572F4"/>
    <w:rsid w:val="000627EC"/>
    <w:rsid w:val="000676D3"/>
    <w:rsid w:val="00070C50"/>
    <w:rsid w:val="00071C57"/>
    <w:rsid w:val="00073C9E"/>
    <w:rsid w:val="00074A48"/>
    <w:rsid w:val="000802D6"/>
    <w:rsid w:val="00080354"/>
    <w:rsid w:val="00083860"/>
    <w:rsid w:val="00086AD5"/>
    <w:rsid w:val="00091301"/>
    <w:rsid w:val="00092687"/>
    <w:rsid w:val="00092BBA"/>
    <w:rsid w:val="00093292"/>
    <w:rsid w:val="000A16E2"/>
    <w:rsid w:val="000A5719"/>
    <w:rsid w:val="000B18C9"/>
    <w:rsid w:val="000B6BBB"/>
    <w:rsid w:val="000C38AD"/>
    <w:rsid w:val="000C584A"/>
    <w:rsid w:val="000C59BA"/>
    <w:rsid w:val="000C5AF4"/>
    <w:rsid w:val="000C7D9E"/>
    <w:rsid w:val="000D2BE7"/>
    <w:rsid w:val="000D388C"/>
    <w:rsid w:val="000D4E62"/>
    <w:rsid w:val="000E4D69"/>
    <w:rsid w:val="000E5EBD"/>
    <w:rsid w:val="000E7558"/>
    <w:rsid w:val="000E7A8B"/>
    <w:rsid w:val="000F1E75"/>
    <w:rsid w:val="000F626F"/>
    <w:rsid w:val="001029F3"/>
    <w:rsid w:val="00107608"/>
    <w:rsid w:val="001102DE"/>
    <w:rsid w:val="00111DAA"/>
    <w:rsid w:val="001124B4"/>
    <w:rsid w:val="0011267A"/>
    <w:rsid w:val="001166F4"/>
    <w:rsid w:val="0011782B"/>
    <w:rsid w:val="00117EC8"/>
    <w:rsid w:val="00122CC9"/>
    <w:rsid w:val="0012352E"/>
    <w:rsid w:val="001243F0"/>
    <w:rsid w:val="00132CE1"/>
    <w:rsid w:val="00134E38"/>
    <w:rsid w:val="001350CE"/>
    <w:rsid w:val="00145691"/>
    <w:rsid w:val="0014586D"/>
    <w:rsid w:val="00146C68"/>
    <w:rsid w:val="00153288"/>
    <w:rsid w:val="00156D0A"/>
    <w:rsid w:val="00161C66"/>
    <w:rsid w:val="001664ED"/>
    <w:rsid w:val="001710FF"/>
    <w:rsid w:val="00172462"/>
    <w:rsid w:val="00173573"/>
    <w:rsid w:val="00180DFF"/>
    <w:rsid w:val="0018382E"/>
    <w:rsid w:val="00183C85"/>
    <w:rsid w:val="0018441F"/>
    <w:rsid w:val="0018790C"/>
    <w:rsid w:val="00193239"/>
    <w:rsid w:val="001A288F"/>
    <w:rsid w:val="001A503D"/>
    <w:rsid w:val="001A6A89"/>
    <w:rsid w:val="001B69D4"/>
    <w:rsid w:val="001C1D0B"/>
    <w:rsid w:val="001C3AD4"/>
    <w:rsid w:val="001C4586"/>
    <w:rsid w:val="001C4E02"/>
    <w:rsid w:val="001C569D"/>
    <w:rsid w:val="001C62B4"/>
    <w:rsid w:val="001D1D58"/>
    <w:rsid w:val="001D530C"/>
    <w:rsid w:val="001E0EA9"/>
    <w:rsid w:val="001E0F13"/>
    <w:rsid w:val="001E2282"/>
    <w:rsid w:val="001E73CA"/>
    <w:rsid w:val="001E7568"/>
    <w:rsid w:val="001E760F"/>
    <w:rsid w:val="001F41E7"/>
    <w:rsid w:val="001F76C7"/>
    <w:rsid w:val="002004AE"/>
    <w:rsid w:val="00205D65"/>
    <w:rsid w:val="0021539E"/>
    <w:rsid w:val="00215A69"/>
    <w:rsid w:val="00224859"/>
    <w:rsid w:val="00233109"/>
    <w:rsid w:val="00237802"/>
    <w:rsid w:val="0024199B"/>
    <w:rsid w:val="002425C8"/>
    <w:rsid w:val="00243CAA"/>
    <w:rsid w:val="0025400C"/>
    <w:rsid w:val="002556DA"/>
    <w:rsid w:val="002572F6"/>
    <w:rsid w:val="002605C8"/>
    <w:rsid w:val="00261934"/>
    <w:rsid w:val="00272EA8"/>
    <w:rsid w:val="00272FAD"/>
    <w:rsid w:val="00280E6C"/>
    <w:rsid w:val="002819D6"/>
    <w:rsid w:val="00282F56"/>
    <w:rsid w:val="00284832"/>
    <w:rsid w:val="00285722"/>
    <w:rsid w:val="00297C4E"/>
    <w:rsid w:val="002A3F45"/>
    <w:rsid w:val="002A5B2B"/>
    <w:rsid w:val="002A70C8"/>
    <w:rsid w:val="002B0340"/>
    <w:rsid w:val="002B1A72"/>
    <w:rsid w:val="002B4393"/>
    <w:rsid w:val="002B621D"/>
    <w:rsid w:val="002B76BA"/>
    <w:rsid w:val="002C2064"/>
    <w:rsid w:val="002C3499"/>
    <w:rsid w:val="002C5612"/>
    <w:rsid w:val="002C5AAE"/>
    <w:rsid w:val="002C70B7"/>
    <w:rsid w:val="002C716F"/>
    <w:rsid w:val="002D02CE"/>
    <w:rsid w:val="002D3148"/>
    <w:rsid w:val="002D3378"/>
    <w:rsid w:val="002D4FA9"/>
    <w:rsid w:val="002E194E"/>
    <w:rsid w:val="002E5469"/>
    <w:rsid w:val="002E7E0F"/>
    <w:rsid w:val="002F1AE8"/>
    <w:rsid w:val="002F2C62"/>
    <w:rsid w:val="002F626D"/>
    <w:rsid w:val="0030057A"/>
    <w:rsid w:val="00302844"/>
    <w:rsid w:val="00306C8A"/>
    <w:rsid w:val="00307656"/>
    <w:rsid w:val="00311D09"/>
    <w:rsid w:val="003149C9"/>
    <w:rsid w:val="00323260"/>
    <w:rsid w:val="003246D2"/>
    <w:rsid w:val="003300DC"/>
    <w:rsid w:val="00333560"/>
    <w:rsid w:val="00336F93"/>
    <w:rsid w:val="00342760"/>
    <w:rsid w:val="00343252"/>
    <w:rsid w:val="00347B59"/>
    <w:rsid w:val="003501B0"/>
    <w:rsid w:val="003504AB"/>
    <w:rsid w:val="003574EA"/>
    <w:rsid w:val="003607EC"/>
    <w:rsid w:val="00360A94"/>
    <w:rsid w:val="00361542"/>
    <w:rsid w:val="003648B7"/>
    <w:rsid w:val="00366E41"/>
    <w:rsid w:val="003675BE"/>
    <w:rsid w:val="003724C3"/>
    <w:rsid w:val="003728DD"/>
    <w:rsid w:val="00373183"/>
    <w:rsid w:val="0037512D"/>
    <w:rsid w:val="0037551C"/>
    <w:rsid w:val="00377F14"/>
    <w:rsid w:val="00380DD1"/>
    <w:rsid w:val="00385DF1"/>
    <w:rsid w:val="003907FB"/>
    <w:rsid w:val="00391327"/>
    <w:rsid w:val="00394C95"/>
    <w:rsid w:val="00394F49"/>
    <w:rsid w:val="00396A67"/>
    <w:rsid w:val="00397162"/>
    <w:rsid w:val="003A1CC3"/>
    <w:rsid w:val="003A2D43"/>
    <w:rsid w:val="003A597C"/>
    <w:rsid w:val="003B3967"/>
    <w:rsid w:val="003B39FF"/>
    <w:rsid w:val="003B5582"/>
    <w:rsid w:val="003C55D7"/>
    <w:rsid w:val="003D0864"/>
    <w:rsid w:val="003D10FA"/>
    <w:rsid w:val="003D262F"/>
    <w:rsid w:val="003D4ABE"/>
    <w:rsid w:val="003D52D7"/>
    <w:rsid w:val="003E7AC4"/>
    <w:rsid w:val="003F15FD"/>
    <w:rsid w:val="00400B76"/>
    <w:rsid w:val="004049A4"/>
    <w:rsid w:val="004049B2"/>
    <w:rsid w:val="00411F3D"/>
    <w:rsid w:val="0041279B"/>
    <w:rsid w:val="00413F2C"/>
    <w:rsid w:val="004144AF"/>
    <w:rsid w:val="00415294"/>
    <w:rsid w:val="00415595"/>
    <w:rsid w:val="00415C39"/>
    <w:rsid w:val="0042235E"/>
    <w:rsid w:val="00423AB9"/>
    <w:rsid w:val="0042693C"/>
    <w:rsid w:val="004275AB"/>
    <w:rsid w:val="004314D6"/>
    <w:rsid w:val="00432A84"/>
    <w:rsid w:val="00433F53"/>
    <w:rsid w:val="00436B1D"/>
    <w:rsid w:val="00451282"/>
    <w:rsid w:val="004523A6"/>
    <w:rsid w:val="00456280"/>
    <w:rsid w:val="00462C01"/>
    <w:rsid w:val="00466C69"/>
    <w:rsid w:val="00471815"/>
    <w:rsid w:val="004725AB"/>
    <w:rsid w:val="00474170"/>
    <w:rsid w:val="0047722C"/>
    <w:rsid w:val="00480081"/>
    <w:rsid w:val="004810E8"/>
    <w:rsid w:val="00481551"/>
    <w:rsid w:val="00485664"/>
    <w:rsid w:val="0049392D"/>
    <w:rsid w:val="004968B0"/>
    <w:rsid w:val="004A123D"/>
    <w:rsid w:val="004A1388"/>
    <w:rsid w:val="004A2F3B"/>
    <w:rsid w:val="004A5C90"/>
    <w:rsid w:val="004B0FCE"/>
    <w:rsid w:val="004B1CE5"/>
    <w:rsid w:val="004C1187"/>
    <w:rsid w:val="004C1714"/>
    <w:rsid w:val="004C3977"/>
    <w:rsid w:val="004C6570"/>
    <w:rsid w:val="004C7D16"/>
    <w:rsid w:val="004C7E9C"/>
    <w:rsid w:val="004D6CF1"/>
    <w:rsid w:val="004E042D"/>
    <w:rsid w:val="004E4A76"/>
    <w:rsid w:val="004E586F"/>
    <w:rsid w:val="004E58B8"/>
    <w:rsid w:val="00501DE7"/>
    <w:rsid w:val="00502591"/>
    <w:rsid w:val="00503B48"/>
    <w:rsid w:val="005060E9"/>
    <w:rsid w:val="0051316D"/>
    <w:rsid w:val="0052185F"/>
    <w:rsid w:val="00523152"/>
    <w:rsid w:val="0053006D"/>
    <w:rsid w:val="005323D8"/>
    <w:rsid w:val="005406FB"/>
    <w:rsid w:val="005415EC"/>
    <w:rsid w:val="00541EB2"/>
    <w:rsid w:val="00553703"/>
    <w:rsid w:val="0055476E"/>
    <w:rsid w:val="00554C4A"/>
    <w:rsid w:val="005550AD"/>
    <w:rsid w:val="00563CB0"/>
    <w:rsid w:val="00570BDF"/>
    <w:rsid w:val="00574C28"/>
    <w:rsid w:val="005766FB"/>
    <w:rsid w:val="0057676E"/>
    <w:rsid w:val="00576FB6"/>
    <w:rsid w:val="00577B1D"/>
    <w:rsid w:val="00582EEC"/>
    <w:rsid w:val="0058346C"/>
    <w:rsid w:val="00585AF7"/>
    <w:rsid w:val="0058655D"/>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36C9"/>
    <w:rsid w:val="005E4813"/>
    <w:rsid w:val="005E6CF7"/>
    <w:rsid w:val="005E7A81"/>
    <w:rsid w:val="005F14EA"/>
    <w:rsid w:val="005F2019"/>
    <w:rsid w:val="005F3D80"/>
    <w:rsid w:val="005F4F05"/>
    <w:rsid w:val="005F7557"/>
    <w:rsid w:val="00602311"/>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47AE5"/>
    <w:rsid w:val="00652CB6"/>
    <w:rsid w:val="00655BB8"/>
    <w:rsid w:val="0065664D"/>
    <w:rsid w:val="00657922"/>
    <w:rsid w:val="00657A81"/>
    <w:rsid w:val="00660250"/>
    <w:rsid w:val="006668A4"/>
    <w:rsid w:val="00666919"/>
    <w:rsid w:val="00671D8D"/>
    <w:rsid w:val="00673141"/>
    <w:rsid w:val="00674319"/>
    <w:rsid w:val="0067468D"/>
    <w:rsid w:val="006779C9"/>
    <w:rsid w:val="00680E96"/>
    <w:rsid w:val="00682982"/>
    <w:rsid w:val="0069230D"/>
    <w:rsid w:val="00693441"/>
    <w:rsid w:val="006969D3"/>
    <w:rsid w:val="006A12D2"/>
    <w:rsid w:val="006A29C3"/>
    <w:rsid w:val="006A2F44"/>
    <w:rsid w:val="006A4920"/>
    <w:rsid w:val="006A5426"/>
    <w:rsid w:val="006A5BCD"/>
    <w:rsid w:val="006A64CE"/>
    <w:rsid w:val="006B0BF2"/>
    <w:rsid w:val="006B1603"/>
    <w:rsid w:val="006B1D2B"/>
    <w:rsid w:val="006B2C9C"/>
    <w:rsid w:val="006B3A4D"/>
    <w:rsid w:val="006B4569"/>
    <w:rsid w:val="006C0696"/>
    <w:rsid w:val="006C279B"/>
    <w:rsid w:val="006C2867"/>
    <w:rsid w:val="006C4258"/>
    <w:rsid w:val="006C4DDE"/>
    <w:rsid w:val="006C4F69"/>
    <w:rsid w:val="006D1FA3"/>
    <w:rsid w:val="006D299A"/>
    <w:rsid w:val="006D30E8"/>
    <w:rsid w:val="006D4E37"/>
    <w:rsid w:val="006D5003"/>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40F0"/>
    <w:rsid w:val="00744C0A"/>
    <w:rsid w:val="00751B83"/>
    <w:rsid w:val="00756FF8"/>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2B1C"/>
    <w:rsid w:val="007B449A"/>
    <w:rsid w:val="007B68DF"/>
    <w:rsid w:val="007C559D"/>
    <w:rsid w:val="007C7ADA"/>
    <w:rsid w:val="007D4B62"/>
    <w:rsid w:val="007D4D87"/>
    <w:rsid w:val="007E0756"/>
    <w:rsid w:val="007E346F"/>
    <w:rsid w:val="007E6B81"/>
    <w:rsid w:val="007F3B2A"/>
    <w:rsid w:val="007F6431"/>
    <w:rsid w:val="007F7539"/>
    <w:rsid w:val="00801363"/>
    <w:rsid w:val="00814A1C"/>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F98"/>
    <w:rsid w:val="00891895"/>
    <w:rsid w:val="00892CFF"/>
    <w:rsid w:val="0089451F"/>
    <w:rsid w:val="008A0160"/>
    <w:rsid w:val="008A1C7F"/>
    <w:rsid w:val="008A2903"/>
    <w:rsid w:val="008A3217"/>
    <w:rsid w:val="008A48A6"/>
    <w:rsid w:val="008A5A92"/>
    <w:rsid w:val="008B052B"/>
    <w:rsid w:val="008B2DF3"/>
    <w:rsid w:val="008D1F34"/>
    <w:rsid w:val="008D2359"/>
    <w:rsid w:val="008D3770"/>
    <w:rsid w:val="008D4AAE"/>
    <w:rsid w:val="008D7DB9"/>
    <w:rsid w:val="008E0540"/>
    <w:rsid w:val="008E43E1"/>
    <w:rsid w:val="008E64A0"/>
    <w:rsid w:val="008E6BD5"/>
    <w:rsid w:val="008E79B0"/>
    <w:rsid w:val="008F01AD"/>
    <w:rsid w:val="008F091E"/>
    <w:rsid w:val="008F31DA"/>
    <w:rsid w:val="008F53FB"/>
    <w:rsid w:val="00906047"/>
    <w:rsid w:val="00907A4B"/>
    <w:rsid w:val="009104B6"/>
    <w:rsid w:val="00910FDC"/>
    <w:rsid w:val="00912FC2"/>
    <w:rsid w:val="009150FC"/>
    <w:rsid w:val="00920F69"/>
    <w:rsid w:val="009218D8"/>
    <w:rsid w:val="00921C3A"/>
    <w:rsid w:val="00931BCA"/>
    <w:rsid w:val="009323FD"/>
    <w:rsid w:val="00934815"/>
    <w:rsid w:val="009360BC"/>
    <w:rsid w:val="00937992"/>
    <w:rsid w:val="00940FD6"/>
    <w:rsid w:val="00943E3B"/>
    <w:rsid w:val="00943F0B"/>
    <w:rsid w:val="00944194"/>
    <w:rsid w:val="00945CDD"/>
    <w:rsid w:val="00950FC9"/>
    <w:rsid w:val="00960640"/>
    <w:rsid w:val="00961DA7"/>
    <w:rsid w:val="00967CE2"/>
    <w:rsid w:val="009801D1"/>
    <w:rsid w:val="00981466"/>
    <w:rsid w:val="00983667"/>
    <w:rsid w:val="00983891"/>
    <w:rsid w:val="009848FC"/>
    <w:rsid w:val="009853EA"/>
    <w:rsid w:val="009863DA"/>
    <w:rsid w:val="009873CB"/>
    <w:rsid w:val="009916D8"/>
    <w:rsid w:val="00994610"/>
    <w:rsid w:val="00994C69"/>
    <w:rsid w:val="0099669F"/>
    <w:rsid w:val="009A1608"/>
    <w:rsid w:val="009A31AD"/>
    <w:rsid w:val="009A6950"/>
    <w:rsid w:val="009B44C5"/>
    <w:rsid w:val="009B47CF"/>
    <w:rsid w:val="009C05E7"/>
    <w:rsid w:val="009C73B1"/>
    <w:rsid w:val="009D04F2"/>
    <w:rsid w:val="009D06E7"/>
    <w:rsid w:val="009D3104"/>
    <w:rsid w:val="009D3DDB"/>
    <w:rsid w:val="009E350B"/>
    <w:rsid w:val="009E4E1A"/>
    <w:rsid w:val="009E6DE5"/>
    <w:rsid w:val="009F3D71"/>
    <w:rsid w:val="009F6274"/>
    <w:rsid w:val="00A05D77"/>
    <w:rsid w:val="00A108D2"/>
    <w:rsid w:val="00A14E8F"/>
    <w:rsid w:val="00A2261B"/>
    <w:rsid w:val="00A23170"/>
    <w:rsid w:val="00A23C5A"/>
    <w:rsid w:val="00A25956"/>
    <w:rsid w:val="00A3185B"/>
    <w:rsid w:val="00A31A60"/>
    <w:rsid w:val="00A40C24"/>
    <w:rsid w:val="00A4204E"/>
    <w:rsid w:val="00A44992"/>
    <w:rsid w:val="00A50F20"/>
    <w:rsid w:val="00A56A00"/>
    <w:rsid w:val="00A61DC1"/>
    <w:rsid w:val="00A63DF0"/>
    <w:rsid w:val="00A64B2E"/>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B7A80"/>
    <w:rsid w:val="00AC7D1B"/>
    <w:rsid w:val="00AD0792"/>
    <w:rsid w:val="00AD08EC"/>
    <w:rsid w:val="00AD0EF2"/>
    <w:rsid w:val="00AD34CC"/>
    <w:rsid w:val="00AD6DFD"/>
    <w:rsid w:val="00AD75D2"/>
    <w:rsid w:val="00AE19BE"/>
    <w:rsid w:val="00AE2B36"/>
    <w:rsid w:val="00AE35A2"/>
    <w:rsid w:val="00AE3ADB"/>
    <w:rsid w:val="00AE6E35"/>
    <w:rsid w:val="00AF0870"/>
    <w:rsid w:val="00AF19AC"/>
    <w:rsid w:val="00AF4B88"/>
    <w:rsid w:val="00AF724F"/>
    <w:rsid w:val="00B0116B"/>
    <w:rsid w:val="00B01A24"/>
    <w:rsid w:val="00B04343"/>
    <w:rsid w:val="00B045B5"/>
    <w:rsid w:val="00B0600E"/>
    <w:rsid w:val="00B078CA"/>
    <w:rsid w:val="00B07C38"/>
    <w:rsid w:val="00B12BAD"/>
    <w:rsid w:val="00B153BA"/>
    <w:rsid w:val="00B17211"/>
    <w:rsid w:val="00B20773"/>
    <w:rsid w:val="00B27686"/>
    <w:rsid w:val="00B31800"/>
    <w:rsid w:val="00B32E35"/>
    <w:rsid w:val="00B33521"/>
    <w:rsid w:val="00B50E4D"/>
    <w:rsid w:val="00B5288C"/>
    <w:rsid w:val="00B52E0D"/>
    <w:rsid w:val="00B548D8"/>
    <w:rsid w:val="00B567B3"/>
    <w:rsid w:val="00B619CC"/>
    <w:rsid w:val="00B717C1"/>
    <w:rsid w:val="00B71802"/>
    <w:rsid w:val="00B71BD3"/>
    <w:rsid w:val="00B723DF"/>
    <w:rsid w:val="00B774A7"/>
    <w:rsid w:val="00B8226E"/>
    <w:rsid w:val="00B83105"/>
    <w:rsid w:val="00B83A0B"/>
    <w:rsid w:val="00B93682"/>
    <w:rsid w:val="00B96FC9"/>
    <w:rsid w:val="00B97479"/>
    <w:rsid w:val="00BA0993"/>
    <w:rsid w:val="00BA556A"/>
    <w:rsid w:val="00BA5A22"/>
    <w:rsid w:val="00BA648D"/>
    <w:rsid w:val="00BA6E63"/>
    <w:rsid w:val="00BB1A54"/>
    <w:rsid w:val="00BB2B78"/>
    <w:rsid w:val="00BB6B95"/>
    <w:rsid w:val="00BC0D77"/>
    <w:rsid w:val="00BC1D53"/>
    <w:rsid w:val="00BC279C"/>
    <w:rsid w:val="00BC6F41"/>
    <w:rsid w:val="00BC7E9D"/>
    <w:rsid w:val="00BD20D5"/>
    <w:rsid w:val="00BD4FC2"/>
    <w:rsid w:val="00BD718D"/>
    <w:rsid w:val="00BD780B"/>
    <w:rsid w:val="00BE1CE0"/>
    <w:rsid w:val="00BE2AAE"/>
    <w:rsid w:val="00BE3F37"/>
    <w:rsid w:val="00BF2059"/>
    <w:rsid w:val="00BF75D1"/>
    <w:rsid w:val="00C00732"/>
    <w:rsid w:val="00C068B3"/>
    <w:rsid w:val="00C14B88"/>
    <w:rsid w:val="00C14CFB"/>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67"/>
    <w:rsid w:val="00C67CB6"/>
    <w:rsid w:val="00C73B0F"/>
    <w:rsid w:val="00C770E4"/>
    <w:rsid w:val="00C82265"/>
    <w:rsid w:val="00C94D67"/>
    <w:rsid w:val="00C9743C"/>
    <w:rsid w:val="00CA1C7A"/>
    <w:rsid w:val="00CA499A"/>
    <w:rsid w:val="00CA78CC"/>
    <w:rsid w:val="00CC3A7E"/>
    <w:rsid w:val="00CC5A94"/>
    <w:rsid w:val="00CC637E"/>
    <w:rsid w:val="00CD3A67"/>
    <w:rsid w:val="00CD6C18"/>
    <w:rsid w:val="00CE3268"/>
    <w:rsid w:val="00CE3935"/>
    <w:rsid w:val="00CF278D"/>
    <w:rsid w:val="00CF6EBD"/>
    <w:rsid w:val="00CF70F9"/>
    <w:rsid w:val="00D0236E"/>
    <w:rsid w:val="00D04706"/>
    <w:rsid w:val="00D0779E"/>
    <w:rsid w:val="00D12FA1"/>
    <w:rsid w:val="00D16DBE"/>
    <w:rsid w:val="00D20480"/>
    <w:rsid w:val="00D218A3"/>
    <w:rsid w:val="00D257DE"/>
    <w:rsid w:val="00D260BC"/>
    <w:rsid w:val="00D2644A"/>
    <w:rsid w:val="00D277C2"/>
    <w:rsid w:val="00D33A5E"/>
    <w:rsid w:val="00D33BBE"/>
    <w:rsid w:val="00D41797"/>
    <w:rsid w:val="00D43C82"/>
    <w:rsid w:val="00D43FB6"/>
    <w:rsid w:val="00D44AC4"/>
    <w:rsid w:val="00D4547C"/>
    <w:rsid w:val="00D466F6"/>
    <w:rsid w:val="00D4699E"/>
    <w:rsid w:val="00D50D41"/>
    <w:rsid w:val="00D52AC2"/>
    <w:rsid w:val="00D537DC"/>
    <w:rsid w:val="00D552EA"/>
    <w:rsid w:val="00D57529"/>
    <w:rsid w:val="00D57809"/>
    <w:rsid w:val="00D67122"/>
    <w:rsid w:val="00D75B8A"/>
    <w:rsid w:val="00D773BD"/>
    <w:rsid w:val="00D77432"/>
    <w:rsid w:val="00D779E2"/>
    <w:rsid w:val="00D77A77"/>
    <w:rsid w:val="00D81191"/>
    <w:rsid w:val="00D951BB"/>
    <w:rsid w:val="00D95C66"/>
    <w:rsid w:val="00D95CF2"/>
    <w:rsid w:val="00D96DAD"/>
    <w:rsid w:val="00DA4B4C"/>
    <w:rsid w:val="00DA7FA6"/>
    <w:rsid w:val="00DB70A9"/>
    <w:rsid w:val="00DC2F03"/>
    <w:rsid w:val="00DC4F58"/>
    <w:rsid w:val="00DC6A8C"/>
    <w:rsid w:val="00DC6BDF"/>
    <w:rsid w:val="00DD0222"/>
    <w:rsid w:val="00DD030F"/>
    <w:rsid w:val="00DD2057"/>
    <w:rsid w:val="00DD231B"/>
    <w:rsid w:val="00DD6C8F"/>
    <w:rsid w:val="00DD7D10"/>
    <w:rsid w:val="00DE01B7"/>
    <w:rsid w:val="00DE0AB6"/>
    <w:rsid w:val="00DE3675"/>
    <w:rsid w:val="00DE3F51"/>
    <w:rsid w:val="00DF31B7"/>
    <w:rsid w:val="00DF5FA7"/>
    <w:rsid w:val="00E00D7B"/>
    <w:rsid w:val="00E01CC7"/>
    <w:rsid w:val="00E07050"/>
    <w:rsid w:val="00E119A4"/>
    <w:rsid w:val="00E14134"/>
    <w:rsid w:val="00E15A3D"/>
    <w:rsid w:val="00E17569"/>
    <w:rsid w:val="00E22840"/>
    <w:rsid w:val="00E26DE8"/>
    <w:rsid w:val="00E27D63"/>
    <w:rsid w:val="00E35D68"/>
    <w:rsid w:val="00E44D8E"/>
    <w:rsid w:val="00E54DB0"/>
    <w:rsid w:val="00E6393F"/>
    <w:rsid w:val="00E63A55"/>
    <w:rsid w:val="00E65DD3"/>
    <w:rsid w:val="00E73838"/>
    <w:rsid w:val="00E837FB"/>
    <w:rsid w:val="00E8614F"/>
    <w:rsid w:val="00E8745F"/>
    <w:rsid w:val="00E95784"/>
    <w:rsid w:val="00E971F0"/>
    <w:rsid w:val="00EA02CC"/>
    <w:rsid w:val="00EA0713"/>
    <w:rsid w:val="00EA0EB0"/>
    <w:rsid w:val="00EA2B71"/>
    <w:rsid w:val="00EB412E"/>
    <w:rsid w:val="00EC06AF"/>
    <w:rsid w:val="00EC40EE"/>
    <w:rsid w:val="00EC797B"/>
    <w:rsid w:val="00ED0CA2"/>
    <w:rsid w:val="00ED5D68"/>
    <w:rsid w:val="00EE0AF6"/>
    <w:rsid w:val="00EE1F61"/>
    <w:rsid w:val="00EE3B56"/>
    <w:rsid w:val="00EE416B"/>
    <w:rsid w:val="00EE4301"/>
    <w:rsid w:val="00EF2A19"/>
    <w:rsid w:val="00F021CD"/>
    <w:rsid w:val="00F106D7"/>
    <w:rsid w:val="00F1420F"/>
    <w:rsid w:val="00F15459"/>
    <w:rsid w:val="00F15E6C"/>
    <w:rsid w:val="00F174FD"/>
    <w:rsid w:val="00F1796A"/>
    <w:rsid w:val="00F2151A"/>
    <w:rsid w:val="00F232C8"/>
    <w:rsid w:val="00F23C7A"/>
    <w:rsid w:val="00F24371"/>
    <w:rsid w:val="00F24D3B"/>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90258"/>
    <w:rsid w:val="00FA61B2"/>
    <w:rsid w:val="00FB06F4"/>
    <w:rsid w:val="00FB5D82"/>
    <w:rsid w:val="00FB7A42"/>
    <w:rsid w:val="00FC00B2"/>
    <w:rsid w:val="00FC1E37"/>
    <w:rsid w:val="00FC1ED9"/>
    <w:rsid w:val="00FC359C"/>
    <w:rsid w:val="00FC5652"/>
    <w:rsid w:val="00FC6F93"/>
    <w:rsid w:val="00FC6FA9"/>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val="uk-UA"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80D"/>
    <w:rPr>
      <w:sz w:val="28"/>
      <w:szCs w:val="28"/>
      <w:lang w:val="uk-UA" w:eastAsia="ru-RU"/>
    </w:rPr>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character" w:styleId="a5">
    <w:name w:val="Hyperlink"/>
    <w:basedOn w:val="a0"/>
    <w:uiPriority w:val="99"/>
    <w:semiHidden/>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uiPriority w:val="99"/>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sz w:val="24"/>
      <w:szCs w:val="24"/>
      <w:lang w:val="uk-UA" w:eastAsia="uk-UA"/>
    </w:rPr>
  </w:style>
  <w:style w:type="character" w:styleId="a7">
    <w:name w:val="Strong"/>
    <w:basedOn w:val="a0"/>
    <w:uiPriority w:val="99"/>
    <w:qFormat/>
    <w:rsid w:val="007A1BC2"/>
    <w:rPr>
      <w:b/>
      <w:bCs/>
    </w:rPr>
  </w:style>
  <w:style w:type="character" w:customStyle="1" w:styleId="rvts44">
    <w:name w:val="rvts44"/>
    <w:basedOn w:val="a0"/>
    <w:uiPriority w:val="99"/>
    <w:rsid w:val="00B619CC"/>
  </w:style>
  <w:style w:type="character" w:customStyle="1" w:styleId="rvts23">
    <w:name w:val="rvts23"/>
    <w:basedOn w:val="a0"/>
    <w:uiPriority w:val="99"/>
    <w:rsid w:val="00B619CC"/>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rPr>
  </w:style>
  <w:style w:type="paragraph" w:customStyle="1" w:styleId="13">
    <w:name w:val="Без интервала1"/>
    <w:uiPriority w:val="99"/>
    <w:rsid w:val="006F59B3"/>
    <w:rPr>
      <w:rFonts w:cs="Calibri"/>
      <w:sz w:val="22"/>
      <w:szCs w:val="22"/>
    </w:rPr>
  </w:style>
  <w:style w:type="paragraph" w:customStyle="1" w:styleId="rvps2">
    <w:name w:val="rvps2"/>
    <w:basedOn w:val="a"/>
    <w:uiPriority w:val="99"/>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character" w:customStyle="1" w:styleId="ab">
    <w:name w:val="Основной текст с отступом Знак"/>
    <w:basedOn w:val="a0"/>
    <w:link w:val="aa"/>
    <w:uiPriority w:val="99"/>
    <w:semiHidden/>
    <w:locked/>
    <w:rsid w:val="00BC7E9D"/>
    <w:rPr>
      <w:lang w:val="uk-UA" w:eastAsia="en-US"/>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ae">
    <w:name w:val="Основной текст Знак"/>
    <w:basedOn w:val="a0"/>
    <w:link w:val="ad"/>
    <w:uiPriority w:val="99"/>
    <w:semiHidden/>
    <w:locked/>
    <w:rsid w:val="005060E9"/>
    <w:rPr>
      <w:sz w:val="22"/>
      <w:szCs w:val="22"/>
      <w:lang w:val="uk-UA" w:eastAsia="en-US"/>
    </w:rPr>
  </w:style>
  <w:style w:type="character" w:customStyle="1" w:styleId="hps">
    <w:name w:val="hps"/>
    <w:basedOn w:val="a0"/>
    <w:uiPriority w:val="99"/>
    <w:rsid w:val="005060E9"/>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lang w:eastAsia="ru-RU"/>
    </w:rPr>
  </w:style>
  <w:style w:type="character" w:customStyle="1" w:styleId="af1">
    <w:name w:val="Нормальний текст Знак"/>
    <w:link w:val="af0"/>
    <w:uiPriority w:val="99"/>
    <w:locked/>
    <w:rsid w:val="0049392D"/>
    <w:rPr>
      <w:rFonts w:ascii="Antiqua" w:hAnsi="Antiqua" w:cs="Antiqua"/>
      <w:sz w:val="22"/>
      <w:szCs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611228"/>
  </w:style>
  <w:style w:type="character" w:styleId="af7">
    <w:name w:val="Emphasis"/>
    <w:basedOn w:val="a0"/>
    <w:uiPriority w:val="99"/>
    <w:qFormat/>
    <w:locked/>
    <w:rsid w:val="00934815"/>
    <w:rPr>
      <w:i/>
      <w:iCs/>
    </w:rPr>
  </w:style>
  <w:style w:type="paragraph" w:customStyle="1" w:styleId="af8">
    <w:name w:val="Знак"/>
    <w:basedOn w:val="a"/>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61576010">
      <w:bodyDiv w:val="1"/>
      <w:marLeft w:val="0"/>
      <w:marRight w:val="0"/>
      <w:marTop w:val="0"/>
      <w:marBottom w:val="0"/>
      <w:divBdr>
        <w:top w:val="none" w:sz="0" w:space="0" w:color="auto"/>
        <w:left w:val="none" w:sz="0" w:space="0" w:color="auto"/>
        <w:bottom w:val="none" w:sz="0" w:space="0" w:color="auto"/>
        <w:right w:val="none" w:sz="0" w:space="0" w:color="auto"/>
      </w:divBdr>
    </w:div>
    <w:div w:id="1241020545">
      <w:marLeft w:val="0"/>
      <w:marRight w:val="0"/>
      <w:marTop w:val="0"/>
      <w:marBottom w:val="0"/>
      <w:divBdr>
        <w:top w:val="none" w:sz="0" w:space="0" w:color="auto"/>
        <w:left w:val="none" w:sz="0" w:space="0" w:color="auto"/>
        <w:bottom w:val="none" w:sz="0" w:space="0" w:color="auto"/>
        <w:right w:val="none" w:sz="0" w:space="0" w:color="auto"/>
      </w:divBdr>
    </w:div>
    <w:div w:id="1241020546">
      <w:marLeft w:val="0"/>
      <w:marRight w:val="0"/>
      <w:marTop w:val="0"/>
      <w:marBottom w:val="0"/>
      <w:divBdr>
        <w:top w:val="none" w:sz="0" w:space="0" w:color="auto"/>
        <w:left w:val="none" w:sz="0" w:space="0" w:color="auto"/>
        <w:bottom w:val="none" w:sz="0" w:space="0" w:color="auto"/>
        <w:right w:val="none" w:sz="0" w:space="0" w:color="auto"/>
      </w:divBdr>
    </w:div>
    <w:div w:id="1241020547">
      <w:marLeft w:val="0"/>
      <w:marRight w:val="0"/>
      <w:marTop w:val="0"/>
      <w:marBottom w:val="0"/>
      <w:divBdr>
        <w:top w:val="none" w:sz="0" w:space="0" w:color="auto"/>
        <w:left w:val="none" w:sz="0" w:space="0" w:color="auto"/>
        <w:bottom w:val="none" w:sz="0" w:space="0" w:color="auto"/>
        <w:right w:val="none" w:sz="0" w:space="0" w:color="auto"/>
      </w:divBdr>
    </w:div>
    <w:div w:id="1241020548">
      <w:marLeft w:val="0"/>
      <w:marRight w:val="0"/>
      <w:marTop w:val="0"/>
      <w:marBottom w:val="0"/>
      <w:divBdr>
        <w:top w:val="none" w:sz="0" w:space="0" w:color="auto"/>
        <w:left w:val="none" w:sz="0" w:space="0" w:color="auto"/>
        <w:bottom w:val="none" w:sz="0" w:space="0" w:color="auto"/>
        <w:right w:val="none" w:sz="0" w:space="0" w:color="auto"/>
      </w:divBdr>
    </w:div>
    <w:div w:id="1241020549">
      <w:marLeft w:val="0"/>
      <w:marRight w:val="0"/>
      <w:marTop w:val="0"/>
      <w:marBottom w:val="0"/>
      <w:divBdr>
        <w:top w:val="none" w:sz="0" w:space="0" w:color="auto"/>
        <w:left w:val="none" w:sz="0" w:space="0" w:color="auto"/>
        <w:bottom w:val="none" w:sz="0" w:space="0" w:color="auto"/>
        <w:right w:val="none" w:sz="0" w:space="0" w:color="auto"/>
      </w:divBdr>
    </w:div>
    <w:div w:id="1241020550">
      <w:marLeft w:val="0"/>
      <w:marRight w:val="0"/>
      <w:marTop w:val="0"/>
      <w:marBottom w:val="0"/>
      <w:divBdr>
        <w:top w:val="none" w:sz="0" w:space="0" w:color="auto"/>
        <w:left w:val="none" w:sz="0" w:space="0" w:color="auto"/>
        <w:bottom w:val="none" w:sz="0" w:space="0" w:color="auto"/>
        <w:right w:val="none" w:sz="0" w:space="0" w:color="auto"/>
      </w:divBdr>
    </w:div>
    <w:div w:id="1241020551">
      <w:marLeft w:val="0"/>
      <w:marRight w:val="0"/>
      <w:marTop w:val="0"/>
      <w:marBottom w:val="0"/>
      <w:divBdr>
        <w:top w:val="none" w:sz="0" w:space="0" w:color="auto"/>
        <w:left w:val="none" w:sz="0" w:space="0" w:color="auto"/>
        <w:bottom w:val="none" w:sz="0" w:space="0" w:color="auto"/>
        <w:right w:val="none" w:sz="0" w:space="0" w:color="auto"/>
      </w:divBdr>
    </w:div>
    <w:div w:id="1241020552">
      <w:marLeft w:val="0"/>
      <w:marRight w:val="0"/>
      <w:marTop w:val="0"/>
      <w:marBottom w:val="0"/>
      <w:divBdr>
        <w:top w:val="none" w:sz="0" w:space="0" w:color="auto"/>
        <w:left w:val="none" w:sz="0" w:space="0" w:color="auto"/>
        <w:bottom w:val="none" w:sz="0" w:space="0" w:color="auto"/>
        <w:right w:val="none" w:sz="0" w:space="0" w:color="auto"/>
      </w:divBdr>
    </w:div>
    <w:div w:id="1241020553">
      <w:marLeft w:val="0"/>
      <w:marRight w:val="0"/>
      <w:marTop w:val="0"/>
      <w:marBottom w:val="0"/>
      <w:divBdr>
        <w:top w:val="none" w:sz="0" w:space="0" w:color="auto"/>
        <w:left w:val="none" w:sz="0" w:space="0" w:color="auto"/>
        <w:bottom w:val="none" w:sz="0" w:space="0" w:color="auto"/>
        <w:right w:val="none" w:sz="0" w:space="0" w:color="auto"/>
      </w:divBdr>
    </w:div>
    <w:div w:id="1241020554">
      <w:marLeft w:val="0"/>
      <w:marRight w:val="0"/>
      <w:marTop w:val="0"/>
      <w:marBottom w:val="0"/>
      <w:divBdr>
        <w:top w:val="none" w:sz="0" w:space="0" w:color="auto"/>
        <w:left w:val="none" w:sz="0" w:space="0" w:color="auto"/>
        <w:bottom w:val="none" w:sz="0" w:space="0" w:color="auto"/>
        <w:right w:val="none" w:sz="0" w:space="0" w:color="auto"/>
      </w:divBdr>
    </w:div>
    <w:div w:id="1241020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A4F59-577E-45DC-B355-1F161156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14</Words>
  <Characters>84</Characters>
  <Application>Microsoft Office Word</Application>
  <DocSecurity>0</DocSecurity>
  <Lines>1</Lines>
  <Paragraphs>1</Paragraphs>
  <ScaleCrop>false</ScaleCrop>
  <Company>SPecialiST RePack</Company>
  <LinksUpToDate>false</LinksUpToDate>
  <CharactersWithSpaces>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Тремтій Таміла Ігорівна</cp:lastModifiedBy>
  <cp:revision>30</cp:revision>
  <cp:lastPrinted>2021-08-13T12:28:00Z</cp:lastPrinted>
  <dcterms:created xsi:type="dcterms:W3CDTF">2022-07-29T12:11:00Z</dcterms:created>
  <dcterms:modified xsi:type="dcterms:W3CDTF">2023-02-27T09:15:00Z</dcterms:modified>
</cp:coreProperties>
</file>