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4E042D">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4E042D">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2C716F" w:rsidRPr="00B27686" w:rsidRDefault="00B27686" w:rsidP="00B27686">
                  <w:pPr>
                    <w:spacing w:after="0" w:line="240" w:lineRule="auto"/>
                    <w:jc w:val="center"/>
                    <w:rPr>
                      <w:rFonts w:ascii="e-Ukraine Bold" w:hAnsi="e-Ukraine Bold"/>
                      <w:sz w:val="40"/>
                      <w:szCs w:val="40"/>
                    </w:rPr>
                  </w:pPr>
                  <w:r w:rsidRPr="00B27686">
                    <w:rPr>
                      <w:rFonts w:ascii="e-Ukraine Bold" w:hAnsi="e-Ukraine Bold" w:cs="Times New Roman"/>
                      <w:b/>
                      <w:bCs/>
                      <w:kern w:val="36"/>
                      <w:sz w:val="40"/>
                      <w:szCs w:val="40"/>
                      <w:lang w:eastAsia="ru-RU"/>
                    </w:rPr>
                    <w:t>Щодо отримання податкової знижки за навчання на військовій кафедрі</w:t>
                  </w: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E042D">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B27686"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грудень</w:t>
                  </w:r>
                  <w:proofErr w:type="spellEnd"/>
                  <w:r>
                    <w:rPr>
                      <w:rFonts w:ascii="e-Ukraine Bold" w:hAnsi="e-Ukraine Bold" w:cs="e-Ukraine Bold"/>
                      <w:b/>
                      <w:bCs/>
                      <w:i/>
                      <w:iCs/>
                      <w:sz w:val="28"/>
                      <w:szCs w:val="28"/>
                      <w:lang w:val="ru-RU"/>
                    </w:rPr>
                    <w:t xml:space="preserve"> </w:t>
                  </w:r>
                  <w:r w:rsidR="00602311">
                    <w:rPr>
                      <w:rFonts w:ascii="e-Ukraine Bold" w:hAnsi="e-Ukraine Bold" w:cs="e-Ukraine Bold"/>
                      <w:b/>
                      <w:bCs/>
                      <w:i/>
                      <w:iCs/>
                      <w:sz w:val="28"/>
                      <w:szCs w:val="28"/>
                      <w:lang w:val="ru-RU"/>
                    </w:rPr>
                    <w:t xml:space="preserve"> </w:t>
                  </w:r>
                  <w:r w:rsidR="002C716F" w:rsidRPr="00413F2C">
                    <w:rPr>
                      <w:rFonts w:ascii="e-Ukraine Bold" w:hAnsi="e-Ukraine Bold" w:cs="e-Ukraine Bold"/>
                      <w:b/>
                      <w:bCs/>
                      <w:i/>
                      <w:iCs/>
                      <w:sz w:val="28"/>
                      <w:szCs w:val="28"/>
                    </w:rPr>
                    <w:t>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4E042D">
      <w:r>
        <w:rPr>
          <w:noProof/>
          <w:lang w:val="ru-RU" w:eastAsia="ru-RU"/>
        </w:rPr>
        <w:lastRenderedPageBreak/>
        <w:pict>
          <v:group id="Группа 92" o:spid="_x0000_s1030" style="position:absolute;margin-left:-15.4pt;margin-top:-21.9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Амур-Нижньодніпровський, Індустріальний та Самарський райони м. Дніпра) інформує, що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164.6 ст.</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164 Податкового кодексу України, фактично здійснені ним протягом звітного податкового року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w:t>
                      </w:r>
                      <w:r w:rsidRPr="004A1388">
                        <w:rPr>
                          <w:rFonts w:ascii="e-Ukraine" w:hAnsi="e-Ukraine" w:cs="Times New Roman"/>
                          <w:sz w:val="28"/>
                          <w:szCs w:val="28"/>
                          <w:lang w:eastAsia="ru-RU"/>
                        </w:rPr>
                        <w:t xml:space="preserve"> </w:t>
                      </w:r>
                      <w:r w:rsidRPr="004A1388">
                        <w:rPr>
                          <w:rFonts w:ascii="e-Ukraine" w:hAnsi="e-Ukraine" w:cs="Times New Roman"/>
                          <w:sz w:val="30"/>
                          <w:szCs w:val="30"/>
                          <w:lang w:eastAsia="ru-RU"/>
                        </w:rPr>
                        <w:t xml:space="preserve">батьком, прийомною матір’ю, батьком-вихователем, матір’ю-вихователькою.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Такі витрати мають бути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w:t>
                      </w:r>
                      <w:proofErr w:type="spellStart"/>
                      <w:r w:rsidRPr="004A1388">
                        <w:rPr>
                          <w:rFonts w:ascii="e-Ukraine" w:hAnsi="e-Ukraine" w:cs="Times New Roman"/>
                          <w:sz w:val="30"/>
                          <w:szCs w:val="30"/>
                          <w:lang w:eastAsia="ru-RU"/>
                        </w:rPr>
                        <w:t>отримувача</w:t>
                      </w:r>
                      <w:proofErr w:type="spellEnd"/>
                      <w:r w:rsidRPr="004A1388">
                        <w:rPr>
                          <w:rFonts w:ascii="e-Ukraine" w:hAnsi="e-Ukraine" w:cs="Times New Roman"/>
                          <w:sz w:val="30"/>
                          <w:szCs w:val="30"/>
                          <w:lang w:eastAsia="ru-RU"/>
                        </w:rPr>
                        <w:t xml:space="preserve">)),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Статтею</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21 Закону України від 05</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вересня 2017</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року №</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2145-VІІІ «Про освіту» із змінами та доповненнями (далі</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 Закон №</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 xml:space="preserve">2145) визначено, що військова освіта – це спеціалізована освіта, яка передбачає засвоєння освітньої програми з військової підготовки з метою набуття комплексу професійних </w:t>
                      </w:r>
                      <w:proofErr w:type="spellStart"/>
                      <w:r w:rsidRPr="004A1388">
                        <w:rPr>
                          <w:rFonts w:ascii="e-Ukraine" w:hAnsi="e-Ukraine" w:cs="Times New Roman"/>
                          <w:sz w:val="30"/>
                          <w:szCs w:val="30"/>
                          <w:lang w:eastAsia="ru-RU"/>
                        </w:rPr>
                        <w:t>компетентностей</w:t>
                      </w:r>
                      <w:proofErr w:type="spellEnd"/>
                      <w:r w:rsidRPr="004A1388">
                        <w:rPr>
                          <w:rFonts w:ascii="e-Ukraine" w:hAnsi="e-Ukraine" w:cs="Times New Roman"/>
                          <w:sz w:val="30"/>
                          <w:szCs w:val="30"/>
                          <w:lang w:eastAsia="ru-RU"/>
                        </w:rPr>
                        <w:t>, формування та розвитку індивідуальних здібностей особи</w:t>
                      </w:r>
                      <w:r w:rsidRPr="004A1388">
                        <w:rPr>
                          <w:rFonts w:ascii="e-Ukraine" w:hAnsi="e-Ukraine" w:cs="Times New Roman"/>
                          <w:sz w:val="28"/>
                          <w:szCs w:val="28"/>
                          <w:lang w:eastAsia="ru-RU"/>
                        </w:rPr>
                        <w:t xml:space="preserve"> </w:t>
                      </w:r>
                      <w:r w:rsidRPr="004A1388">
                        <w:rPr>
                          <w:rFonts w:ascii="e-Ukraine" w:hAnsi="e-Ukraine" w:cs="Times New Roman"/>
                          <w:sz w:val="30"/>
                          <w:szCs w:val="30"/>
                          <w:lang w:eastAsia="ru-RU"/>
                        </w:rPr>
                        <w:t xml:space="preserve">і поглибленого оволодіння військовою спеціалізацією та здобувається одночасно з середньою, професійною (професійно-технічною), фаховою </w:t>
                      </w:r>
                      <w:proofErr w:type="spellStart"/>
                      <w:r w:rsidRPr="004A1388">
                        <w:rPr>
                          <w:rFonts w:ascii="e-Ukraine" w:hAnsi="e-Ukraine" w:cs="Times New Roman"/>
                          <w:sz w:val="30"/>
                          <w:szCs w:val="30"/>
                          <w:lang w:eastAsia="ru-RU"/>
                        </w:rPr>
                        <w:t>передвищою</w:t>
                      </w:r>
                      <w:proofErr w:type="spellEnd"/>
                      <w:r w:rsidRPr="004A1388">
                        <w:rPr>
                          <w:rFonts w:ascii="e-Ukraine" w:hAnsi="e-Ukraine" w:cs="Times New Roman"/>
                          <w:sz w:val="30"/>
                          <w:szCs w:val="30"/>
                          <w:lang w:eastAsia="ru-RU"/>
                        </w:rPr>
                        <w:t xml:space="preserve"> чи вищою освітою.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Згідно з ст.</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33 Закону України від 01</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липня 2014</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року №</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 xml:space="preserve">1556-VІІ «Про вищу освіту» із змінами та доповненнями однією з складових структури вищої освіти є кафедра військової підготовки, яка проводить підготовку курсантів (слухачів, студентів) для подальшої служби на посадах сержантського, старшинського, офіцерського або начальницького складу у військових формуваннях.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Пунктом</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4 Порядку проведення військової підготовки громадян України за програмою підготовки офіцерів запасу, затвердженого постановою Кабінету Міністрів України від 01</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лютого 2012</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року №</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48 із змінами та доповненнями передбачено, що військова підготовка проводиться, зокрема, для надання</w:t>
                      </w:r>
                      <w:r w:rsidRPr="004A1388">
                        <w:rPr>
                          <w:rFonts w:ascii="e-Ukraine" w:hAnsi="e-Ukraine" w:cs="Times New Roman"/>
                          <w:sz w:val="28"/>
                          <w:szCs w:val="28"/>
                          <w:lang w:eastAsia="ru-RU"/>
                        </w:rPr>
                        <w:t xml:space="preserve"> </w:t>
                      </w:r>
                      <w:r w:rsidRPr="004A1388">
                        <w:rPr>
                          <w:rFonts w:ascii="e-Ukraine" w:hAnsi="e-Ukraine" w:cs="Times New Roman"/>
                          <w:sz w:val="30"/>
                          <w:szCs w:val="30"/>
                          <w:lang w:eastAsia="ru-RU"/>
                        </w:rPr>
                        <w:t xml:space="preserve">фізичним особам платних послуг у галузі вищої освіти, пов’язаних з військовою підготовкою, для забезпечення реалізації права таких осіб на рівні можливості у виборі професії шляхом здобуття додаткових знань, умінь і навичок, необхідних для майбутньої професійної діяльності.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При цьому розмір та умови оплати за навчання, підготовку, перепідготовку, підвищення кваліфікації, за надання додаткових освітніх послуг встановлюються договором. Договір укладається між закладом освіти і здобувачем освіти (його законними представниками) та/або юридичною чи фізичною особою, яка здійснює оплату (частина шоста ст.</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79 Закону №</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 xml:space="preserve">2145).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 xml:space="preserve">Таким чином платник податку має право на податкову знижку у зменшення оподатковуваного доходу за наслідками звітного податкового року на суму витрат, понесених ним на користь закладу освіти за навчання на військовій кафедрі, оскільки він є здобувачем професійної військової освіти.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Підстави для нарахування податкової</w:t>
                      </w:r>
                      <w:r w:rsidRPr="004A1388">
                        <w:rPr>
                          <w:rFonts w:ascii="e-Ukraine" w:hAnsi="e-Ukraine" w:cs="Times New Roman"/>
                          <w:sz w:val="28"/>
                          <w:szCs w:val="28"/>
                          <w:lang w:eastAsia="ru-RU"/>
                        </w:rPr>
                        <w:t xml:space="preserve"> </w:t>
                      </w:r>
                      <w:r w:rsidRPr="004A1388">
                        <w:rPr>
                          <w:rFonts w:ascii="e-Ukraine" w:hAnsi="e-Ukraine" w:cs="Times New Roman"/>
                          <w:sz w:val="30"/>
                          <w:szCs w:val="30"/>
                          <w:lang w:eastAsia="ru-RU"/>
                        </w:rPr>
                        <w:t>знижки із зазначенням конкретних сум відображаються платником податку у річній податковій декларації про майновий стан і доходи, яка подається по 31</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грудня включно наступного за звітним податкового року</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 тобто, наприклад, по 31</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грудня 2022</w:t>
                      </w:r>
                      <w:r w:rsidRPr="004A1388">
                        <w:rPr>
                          <w:rFonts w:ascii="Times New Roman" w:hAnsi="Times New Roman" w:cs="Times New Roman"/>
                          <w:sz w:val="30"/>
                          <w:szCs w:val="30"/>
                          <w:lang w:eastAsia="ru-RU"/>
                        </w:rPr>
                        <w:t> </w:t>
                      </w:r>
                      <w:r w:rsidRPr="004A1388">
                        <w:rPr>
                          <w:rFonts w:ascii="e-Ukraine" w:hAnsi="e-Ukraine" w:cs="Times New Roman"/>
                          <w:sz w:val="30"/>
                          <w:szCs w:val="30"/>
                          <w:lang w:eastAsia="ru-RU"/>
                        </w:rPr>
                        <w:t xml:space="preserve">року.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 xml:space="preserve">Якщо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 xml:space="preserve">Платники можуть подати декларацію в один із таких способів: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 xml:space="preserve">- особисто або уповноваженою на це особою;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 xml:space="preserve">- надіслати поштою з повідомленням про вручення та з описом вкладення, але не пізніше ніж за 5 днів до закінчення граничного строку подання декларації;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 xml:space="preserve">- засобами електронного зв'язку в електронній формі (не пізніше закінчення останньої години дня, в якому спливає граничний строк подання декларації). </w:t>
                      </w:r>
                    </w:p>
                    <w:p w:rsidR="004A1388" w:rsidRPr="004A1388" w:rsidRDefault="004A1388" w:rsidP="004A1388">
                      <w:pPr>
                        <w:spacing w:after="0" w:line="240" w:lineRule="auto"/>
                        <w:ind w:firstLine="567"/>
                        <w:jc w:val="both"/>
                        <w:rPr>
                          <w:rFonts w:ascii="e-Ukraine" w:hAnsi="e-Ukraine" w:cs="Times New Roman"/>
                          <w:sz w:val="30"/>
                          <w:szCs w:val="30"/>
                          <w:lang w:eastAsia="ru-RU"/>
                        </w:rPr>
                      </w:pPr>
                      <w:r w:rsidRPr="004A1388">
                        <w:rPr>
                          <w:rFonts w:ascii="e-Ukraine" w:hAnsi="e-Ukraine" w:cs="Times New Roman"/>
                          <w:sz w:val="30"/>
                          <w:szCs w:val="30"/>
                          <w:lang w:eastAsia="ru-RU"/>
                        </w:rPr>
                        <w:t>ДПС запроваджено електронний сервіс в приватній</w:t>
                      </w:r>
                      <w:r w:rsidRPr="004A1388">
                        <w:rPr>
                          <w:rFonts w:ascii="Times New Roman" w:hAnsi="Times New Roman" w:cs="Times New Roman"/>
                          <w:sz w:val="30"/>
                          <w:szCs w:val="30"/>
                          <w:lang w:eastAsia="ru-RU"/>
                        </w:rPr>
                        <w:t xml:space="preserve"> </w:t>
                      </w:r>
                      <w:r w:rsidRPr="004A1388">
                        <w:rPr>
                          <w:rFonts w:ascii="e-Ukraine" w:hAnsi="e-Ukraine" w:cs="Times New Roman"/>
                          <w:sz w:val="30"/>
                          <w:szCs w:val="30"/>
                          <w:lang w:eastAsia="ru-RU"/>
                        </w:rPr>
                        <w:t xml:space="preserve">частині «Електронного кабінету» «Податкова декларація про майновий стан і доходи» (ЕК для громадян/Податкова декларація про майновий стан і доходи), який надає можливість заповнення декларації та її надсилання до контролюючого органу в електронному вигляді. </w:t>
                      </w:r>
                    </w:p>
                    <w:p w:rsidR="002C716F" w:rsidRPr="004A1388" w:rsidRDefault="002C716F" w:rsidP="00647AE5">
                      <w:pPr>
                        <w:rPr>
                          <w:rFonts w:ascii="e-Ukraine" w:hAnsi="e-Ukraine"/>
                          <w:sz w:val="30"/>
                          <w:szCs w:val="30"/>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4E042D">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4E042D">
      <w:r>
        <w:rPr>
          <w:noProof/>
          <w:lang w:val="ru-RU" w:eastAsia="ru-RU"/>
        </w:rPr>
        <w:pict>
          <v:group id="Группа 93" o:spid="_x0000_s1050" style="position:absolute;margin-left:-18pt;margin-top:-492.75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4E042D">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38AD"/>
    <w:rsid w:val="000C584A"/>
    <w:rsid w:val="000C59BA"/>
    <w:rsid w:val="000C5AF4"/>
    <w:rsid w:val="000C7D9E"/>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FAD"/>
    <w:rsid w:val="00280E6C"/>
    <w:rsid w:val="002819D6"/>
    <w:rsid w:val="00282F56"/>
    <w:rsid w:val="00284832"/>
    <w:rsid w:val="00285722"/>
    <w:rsid w:val="00297C4E"/>
    <w:rsid w:val="002A3F45"/>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A1CC3"/>
    <w:rsid w:val="003A2D43"/>
    <w:rsid w:val="003A597C"/>
    <w:rsid w:val="003B3967"/>
    <w:rsid w:val="003B39FF"/>
    <w:rsid w:val="003B5582"/>
    <w:rsid w:val="003C55D7"/>
    <w:rsid w:val="003D0864"/>
    <w:rsid w:val="003D10FA"/>
    <w:rsid w:val="003D262F"/>
    <w:rsid w:val="003D4ABE"/>
    <w:rsid w:val="003D52D7"/>
    <w:rsid w:val="003E7AC4"/>
    <w:rsid w:val="003F15FD"/>
    <w:rsid w:val="00400B76"/>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311"/>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6431"/>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FB6"/>
    <w:rsid w:val="00D44AC4"/>
    <w:rsid w:val="00D4547C"/>
    <w:rsid w:val="00D466F6"/>
    <w:rsid w:val="00D4699E"/>
    <w:rsid w:val="00D50D41"/>
    <w:rsid w:val="00D52AC2"/>
    <w:rsid w:val="00D537DC"/>
    <w:rsid w:val="00D552EA"/>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7050"/>
    <w:rsid w:val="00E119A4"/>
    <w:rsid w:val="00E14134"/>
    <w:rsid w:val="00E15A3D"/>
    <w:rsid w:val="00E17569"/>
    <w:rsid w:val="00E22840"/>
    <w:rsid w:val="00E26DE8"/>
    <w:rsid w:val="00E27D63"/>
    <w:rsid w:val="00E35D68"/>
    <w:rsid w:val="00E44D8E"/>
    <w:rsid w:val="00E54DB0"/>
    <w:rsid w:val="00E6393F"/>
    <w:rsid w:val="00E63A55"/>
    <w:rsid w:val="00E65DD3"/>
    <w:rsid w:val="00E73838"/>
    <w:rsid w:val="00E837FB"/>
    <w:rsid w:val="00E8614F"/>
    <w:rsid w:val="00E8745F"/>
    <w:rsid w:val="00E95784"/>
    <w:rsid w:val="00E971F0"/>
    <w:rsid w:val="00EA0713"/>
    <w:rsid w:val="00EA2B71"/>
    <w:rsid w:val="00EB412E"/>
    <w:rsid w:val="00EC06AF"/>
    <w:rsid w:val="00EC40EE"/>
    <w:rsid w:val="00EC797B"/>
    <w:rsid w:val="00ED0CA2"/>
    <w:rsid w:val="00ED5D68"/>
    <w:rsid w:val="00EE0AF6"/>
    <w:rsid w:val="00EE1F61"/>
    <w:rsid w:val="00EE3B56"/>
    <w:rsid w:val="00EE416B"/>
    <w:rsid w:val="00EE4301"/>
    <w:rsid w:val="00EF2A19"/>
    <w:rsid w:val="00F021CD"/>
    <w:rsid w:val="00F106D7"/>
    <w:rsid w:val="00F1420F"/>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37"/>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D0634-C598-43AF-AAEC-F81686BF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14</Words>
  <Characters>84</Characters>
  <Application>Microsoft Office Word</Application>
  <DocSecurity>0</DocSecurity>
  <Lines>1</Lines>
  <Paragraphs>1</Paragraphs>
  <ScaleCrop>false</ScaleCrop>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22</cp:revision>
  <cp:lastPrinted>2021-08-13T12:28:00Z</cp:lastPrinted>
  <dcterms:created xsi:type="dcterms:W3CDTF">2022-07-29T12:11:00Z</dcterms:created>
  <dcterms:modified xsi:type="dcterms:W3CDTF">2022-12-08T14:16:00Z</dcterms:modified>
</cp:coreProperties>
</file>