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22" w:rsidRDefault="001B02A3">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321B22" w:rsidRDefault="00321B22"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321B22" w:rsidRDefault="00321B22"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321B22" w:rsidRPr="00B31800" w:rsidRDefault="00321B22" w:rsidP="00413F2C">
                  <w:pPr>
                    <w:spacing w:after="0" w:line="240" w:lineRule="auto"/>
                    <w:rPr>
                      <w:rFonts w:ascii="e-Ukraine" w:hAnsi="e-Ukraine" w:cs="e-Ukraine"/>
                      <w:sz w:val="16"/>
                      <w:szCs w:val="16"/>
                    </w:rPr>
                  </w:pPr>
                </w:p>
                <w:p w:rsidR="00321B22" w:rsidRPr="006C0696" w:rsidRDefault="00321B22" w:rsidP="00413F2C">
                  <w:pPr>
                    <w:spacing w:after="0" w:line="240" w:lineRule="auto"/>
                    <w:rPr>
                      <w:rFonts w:ascii="e-Ukraine" w:hAnsi="e-Ukraine" w:cs="e-Ukraine"/>
                      <w:sz w:val="6"/>
                      <w:szCs w:val="6"/>
                    </w:rPr>
                  </w:pPr>
                </w:p>
                <w:p w:rsidR="00321B22" w:rsidRPr="006C0696" w:rsidRDefault="00321B22"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321B22" w:rsidRPr="006C0696" w:rsidRDefault="00321B22"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85592E">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1775460" cy="1094740"/>
                    </a:xfrm>
                    <a:prstGeom prst="rect">
                      <a:avLst/>
                    </a:prstGeom>
                    <a:noFill/>
                  </pic:spPr>
                </pic:pic>
              </a:graphicData>
            </a:graphic>
          </wp:anchor>
        </w:drawing>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1B02A3">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134ACC" w:rsidRPr="001A43DA" w:rsidRDefault="00134ACC" w:rsidP="00134ACC">
                  <w:pPr>
                    <w:spacing w:before="100" w:beforeAutospacing="1" w:after="100" w:afterAutospacing="1" w:line="240" w:lineRule="auto"/>
                    <w:jc w:val="center"/>
                    <w:outlineLvl w:val="0"/>
                    <w:rPr>
                      <w:rFonts w:ascii="e-Ukraine Bold" w:hAnsi="e-Ukraine Bold" w:cs="Times New Roman"/>
                      <w:b/>
                      <w:bCs/>
                      <w:kern w:val="36"/>
                      <w:sz w:val="34"/>
                      <w:szCs w:val="34"/>
                      <w:lang w:eastAsia="ru-RU"/>
                    </w:rPr>
                  </w:pPr>
                  <w:r w:rsidRPr="001A43DA">
                    <w:rPr>
                      <w:rFonts w:ascii="e-Ukraine Bold" w:hAnsi="e-Ukraine Bold" w:cs="Times New Roman"/>
                      <w:b/>
                      <w:bCs/>
                      <w:kern w:val="36"/>
                      <w:sz w:val="34"/>
                      <w:szCs w:val="34"/>
                      <w:lang w:eastAsia="ru-RU"/>
                    </w:rPr>
                    <w:t>Зміни до переліку умов проведення розрахункових операцій без застосування РРО/програмних РРО</w:t>
                  </w:r>
                </w:p>
                <w:p w:rsidR="00321B22" w:rsidRDefault="00321B22" w:rsidP="00891895"/>
              </w:txbxContent>
            </v:textbox>
            <w10:wrap anchorx="margin"/>
          </v:shape>
        </w:pict>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1B02A3">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321B22" w:rsidRPr="00413F2C" w:rsidRDefault="00321B22"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січень</w:t>
                  </w:r>
                  <w:proofErr w:type="spellEnd"/>
                  <w:r>
                    <w:rPr>
                      <w:rFonts w:ascii="e-Ukraine Bold" w:hAnsi="e-Ukraine Bold" w:cs="e-Ukraine Bold"/>
                      <w:b/>
                      <w:bCs/>
                      <w:i/>
                      <w:iCs/>
                      <w:sz w:val="28"/>
                      <w:szCs w:val="28"/>
                      <w:lang w:val="ru-RU"/>
                    </w:rPr>
                    <w:t xml:space="preserve"> 2022</w:t>
                  </w:r>
                  <w:r w:rsidRPr="00413F2C">
                    <w:rPr>
                      <w:rFonts w:ascii="e-Ukraine Bold" w:hAnsi="e-Ukraine Bold" w:cs="e-Ukraine Bold"/>
                      <w:b/>
                      <w:bCs/>
                      <w:i/>
                      <w:iCs/>
                      <w:sz w:val="28"/>
                      <w:szCs w:val="28"/>
                    </w:rPr>
                    <w:t xml:space="preserve"> року</w:t>
                  </w:r>
                </w:p>
                <w:p w:rsidR="00321B22" w:rsidRPr="00E17569" w:rsidRDefault="00321B22" w:rsidP="00E17569"/>
              </w:txbxContent>
            </v:textbox>
          </v:shape>
        </w:pict>
      </w:r>
    </w:p>
    <w:p w:rsidR="00321B22" w:rsidRDefault="001B02A3">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134ACC" w:rsidRPr="00134ACC" w:rsidRDefault="00134ACC" w:rsidP="00F83AD0">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rPr>
                        <w:t>Відділ комунікацій з громадськістю управління інформаційної взаємодії Головного</w:t>
                      </w:r>
                      <w:r w:rsidRPr="00134ACC">
                        <w:rPr>
                          <w:rFonts w:ascii="e-Ukraine" w:hAnsi="e-Ukraine" w:cs="Times New Roman"/>
                          <w:sz w:val="34"/>
                          <w:szCs w:val="34"/>
                          <w:lang w:eastAsia="ru-RU"/>
                        </w:rPr>
                        <w:t xml:space="preserve"> управління ДПС у Дніпропетровській області</w:t>
                      </w:r>
                      <w:r w:rsidRPr="00134ACC">
                        <w:rPr>
                          <w:rFonts w:ascii="e-Ukraine" w:hAnsi="e-Ukraine" w:cs="Times New Roman"/>
                          <w:sz w:val="34"/>
                          <w:szCs w:val="34"/>
                          <w:lang w:val="en-US" w:eastAsia="ru-RU"/>
                        </w:rPr>
                        <w:t xml:space="preserve"> </w:t>
                      </w:r>
                      <w:r w:rsidRPr="00134ACC">
                        <w:rPr>
                          <w:rFonts w:ascii="e-Ukraine" w:hAnsi="e-Ukraine"/>
                          <w:sz w:val="34"/>
                          <w:szCs w:val="34"/>
                        </w:rPr>
                        <w:t>(території обслуговування: Амур-Нижньодніпровський,  Індустріальний та Самарський райони м. Дніпра)</w:t>
                      </w:r>
                      <w:r w:rsidRPr="00134ACC">
                        <w:rPr>
                          <w:rFonts w:ascii="e-Ukraine" w:hAnsi="e-Ukraine"/>
                          <w:sz w:val="34"/>
                          <w:szCs w:val="34"/>
                          <w:lang w:val="en-US"/>
                        </w:rPr>
                        <w:t xml:space="preserve"> </w:t>
                      </w:r>
                      <w:r w:rsidRPr="00134ACC">
                        <w:rPr>
                          <w:rFonts w:ascii="e-Ukraine" w:hAnsi="e-Ukraine" w:cs="Times New Roman"/>
                          <w:sz w:val="34"/>
                          <w:szCs w:val="34"/>
                          <w:lang w:eastAsia="ru-RU"/>
                        </w:rPr>
                        <w:t>повідомляє, що 01.01.2022 набрала чинності постанова Кабінету Міністрів України від 23 грудня 2021 року</w:t>
                      </w:r>
                      <w:r w:rsidR="00F83AD0">
                        <w:rPr>
                          <w:rFonts w:ascii="e-Ukraine" w:hAnsi="e-Ukraine" w:cs="Times New Roman"/>
                          <w:sz w:val="34"/>
                          <w:szCs w:val="34"/>
                          <w:lang w:val="en-US" w:eastAsia="ru-RU"/>
                        </w:rPr>
                        <w:t xml:space="preserve">       </w:t>
                      </w:r>
                      <w:r w:rsidRPr="00134ACC">
                        <w:rPr>
                          <w:rFonts w:ascii="e-Ukraine" w:hAnsi="e-Ukraine" w:cs="Times New Roman"/>
                          <w:sz w:val="34"/>
                          <w:szCs w:val="34"/>
                          <w:lang w:eastAsia="ru-RU"/>
                        </w:rPr>
                        <w:t xml:space="preserve"> № 1359 «Про внесення змін до постанови Кабінету Міністрів України від 23 серпня 2000 р.</w:t>
                      </w:r>
                      <w:r w:rsidR="00F83AD0">
                        <w:rPr>
                          <w:rFonts w:ascii="e-Ukraine" w:hAnsi="e-Ukraine" w:cs="Times New Roman"/>
                          <w:sz w:val="34"/>
                          <w:szCs w:val="34"/>
                          <w:lang w:val="en-US" w:eastAsia="ru-RU"/>
                        </w:rPr>
                        <w:t xml:space="preserve">           </w:t>
                      </w:r>
                      <w:r w:rsidRPr="00134ACC">
                        <w:rPr>
                          <w:rFonts w:ascii="e-Ukraine" w:hAnsi="e-Ukraine" w:cs="Times New Roman"/>
                          <w:sz w:val="34"/>
                          <w:szCs w:val="34"/>
                          <w:lang w:eastAsia="ru-RU"/>
                        </w:rPr>
                        <w:t xml:space="preserve"> № 1336» (далі – Постанова № 1359). </w:t>
                      </w:r>
                    </w:p>
                    <w:p w:rsidR="00134ACC" w:rsidRPr="00134ACC" w:rsidRDefault="00134ACC" w:rsidP="00F83AD0">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Постановою № 1359 внесені зміни до постанови Кабінету Міністрів України від 23 серпня 2000 року</w:t>
                      </w:r>
                      <w:r w:rsidR="00F83AD0" w:rsidRPr="00F83AD0">
                        <w:rPr>
                          <w:rFonts w:ascii="e-Ukraine" w:hAnsi="e-Ukraine" w:cs="Times New Roman"/>
                          <w:sz w:val="34"/>
                          <w:szCs w:val="34"/>
                          <w:lang w:eastAsia="ru-RU"/>
                        </w:rPr>
                        <w:t xml:space="preserve">     </w:t>
                      </w:r>
                      <w:r w:rsidRPr="00134ACC">
                        <w:rPr>
                          <w:rFonts w:ascii="e-Ukraine" w:hAnsi="e-Ukraine" w:cs="Times New Roman"/>
                          <w:sz w:val="34"/>
                          <w:szCs w:val="34"/>
                          <w:lang w:eastAsia="ru-RU"/>
                        </w:rPr>
                        <w:t xml:space="preserve"> № 1336 «Про забезпечення реалізації статті 10 Закону України «Про застосування реєстраторів розрахункових операцій у сфері торгівлі, громадського харчування та послуг» (далі – Постанова</w:t>
                      </w:r>
                      <w:r w:rsidR="00F83AD0" w:rsidRPr="00F83AD0">
                        <w:rPr>
                          <w:rFonts w:ascii="e-Ukraine" w:hAnsi="e-Ukraine" w:cs="Times New Roman"/>
                          <w:sz w:val="34"/>
                          <w:szCs w:val="34"/>
                          <w:lang w:eastAsia="ru-RU"/>
                        </w:rPr>
                        <w:t xml:space="preserve">           </w:t>
                      </w:r>
                      <w:r w:rsidRPr="00134ACC">
                        <w:rPr>
                          <w:rFonts w:ascii="e-Ukraine" w:hAnsi="e-Ukraine" w:cs="Times New Roman"/>
                          <w:sz w:val="34"/>
                          <w:szCs w:val="34"/>
                          <w:lang w:eastAsia="ru-RU"/>
                        </w:rPr>
                        <w:t xml:space="preserve"> № 1336). </w:t>
                      </w:r>
                    </w:p>
                    <w:p w:rsidR="00134ACC" w:rsidRPr="00134ACC" w:rsidRDefault="00134ACC" w:rsidP="00F83AD0">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Нагадаємо, що у статті 10 Закону України «Про застосування реєстраторів розрахункових операцій у сфері торгівлі, громадського харчування та послуг» (далі</w:t>
                      </w:r>
                      <w:r w:rsidRPr="00134ACC">
                        <w:rPr>
                          <w:rFonts w:ascii="Times New Roman" w:hAnsi="Times New Roman" w:cs="Times New Roman"/>
                          <w:sz w:val="34"/>
                          <w:szCs w:val="34"/>
                          <w:lang w:eastAsia="ru-RU"/>
                        </w:rPr>
                        <w:t> </w:t>
                      </w:r>
                      <w:r w:rsidRPr="00134ACC">
                        <w:rPr>
                          <w:rFonts w:ascii="e-Ukraine" w:hAnsi="e-Ukraine" w:cs="Times New Roman"/>
                          <w:sz w:val="34"/>
                          <w:szCs w:val="34"/>
                          <w:lang w:eastAsia="ru-RU"/>
                        </w:rPr>
                        <w:t xml:space="preserve">– Закон) визначено перелік окремих форм та умов проведення діяльності у сфері торгівлі, громадського харчування та послуг, яким дозволено проводити розрахункові операції без застосування реєстраторів розрахункових операцій (РРО) та/або програмних реєстраторів розрахункових операцій (програмні РРО) з використанням розрахункових книжок (далі – РК) та книг обліку розрахункових операцій (далі – КОРО), а також граничний розмір річного обсягу розрахункових операцій з продажу товарів (надання послуг), при перевищенні якого застосування РРО та/або програмних РРО є обов’язковим. </w:t>
                      </w:r>
                    </w:p>
                    <w:p w:rsidR="00134ACC" w:rsidRPr="00134ACC" w:rsidRDefault="00134ACC" w:rsidP="007C1B95">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Зміни до Постанови № 1336, зокрема, передбачають: </w:t>
                      </w:r>
                    </w:p>
                    <w:p w:rsidR="00134ACC" w:rsidRPr="00134ACC" w:rsidRDefault="00134ACC" w:rsidP="00134ACC">
                      <w:pPr>
                        <w:spacing w:after="0" w:line="240" w:lineRule="auto"/>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а) звільнення від обов’язкового застосування РРО та/або програмних РРО фізичних oci6 – підприємців – платників єдиного податку другої – четвертої груп, які здійснюють роздрібну торгівлю на території села товарами </w:t>
                      </w:r>
                      <w:r w:rsidRPr="00134ACC">
                        <w:rPr>
                          <w:rFonts w:ascii="e-Ukraine" w:hAnsi="e-Ukraine" w:cs="Times New Roman"/>
                          <w:i/>
                          <w:iCs/>
                          <w:sz w:val="34"/>
                          <w:szCs w:val="34"/>
                          <w:lang w:eastAsia="ru-RU"/>
                        </w:rPr>
                        <w:t>(крім підакцизних товарів)</w:t>
                      </w:r>
                      <w:r w:rsidRPr="00134ACC">
                        <w:rPr>
                          <w:rFonts w:ascii="e-Ukraine" w:hAnsi="e-Ukraine" w:cs="Times New Roman"/>
                          <w:sz w:val="34"/>
                          <w:szCs w:val="34"/>
                          <w:lang w:eastAsia="ru-RU"/>
                        </w:rPr>
                        <w:t xml:space="preserve"> за умови не перевищення граничного розміру річного обсягу розрахункових операцій (167 розмірів мінімальної заробітної плати, встановленої законом на 01 січня податкового (звітного) року, на один структурний (відокремлений) підрозділ (пункт продажу товарів)). </w:t>
                      </w:r>
                    </w:p>
                    <w:p w:rsidR="00134ACC" w:rsidRPr="00134ACC" w:rsidRDefault="00134ACC" w:rsidP="007C1B95">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Вищезазначена норма не застосовується за наявності хоча б однієї з</w:t>
                      </w:r>
                      <w:r w:rsidRPr="00292B1E">
                        <w:rPr>
                          <w:rFonts w:ascii="Times New Roman" w:hAnsi="Times New Roman" w:cs="Times New Roman"/>
                          <w:sz w:val="24"/>
                          <w:szCs w:val="24"/>
                          <w:lang w:eastAsia="ru-RU"/>
                        </w:rPr>
                        <w:t xml:space="preserve"> </w:t>
                      </w:r>
                      <w:r w:rsidRPr="00134ACC">
                        <w:rPr>
                          <w:rFonts w:ascii="e-Ukraine" w:hAnsi="e-Ukraine" w:cs="Times New Roman"/>
                          <w:sz w:val="34"/>
                          <w:szCs w:val="34"/>
                          <w:lang w:eastAsia="ru-RU"/>
                        </w:rPr>
                        <w:t xml:space="preserve">таких умов: </w:t>
                      </w:r>
                    </w:p>
                    <w:p w:rsidR="00134ACC" w:rsidRPr="00134ACC" w:rsidRDefault="00134ACC" w:rsidP="007C1B95">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 така роздрібна торгівля здійснюється в торгівельному об’єкті, в якому також здійснюється торгівля підакцизними товарами; </w:t>
                      </w:r>
                    </w:p>
                    <w:p w:rsidR="00134ACC" w:rsidRPr="00134ACC" w:rsidRDefault="00134ACC" w:rsidP="007C1B95">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 такими фізичними особами – підприємцями також здійснюється дистанційна торгівля, зокрема через Інтернет; </w:t>
                      </w:r>
                    </w:p>
                    <w:p w:rsidR="00134ACC" w:rsidRPr="00134ACC" w:rsidRDefault="00134ACC" w:rsidP="007C1B95">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 сільськими радами та радами об’єднаних територіальних громад, що створені згідно із законом, прийнято рішення про обов’язкове застосування на території села РРО та/або програмних РРО; </w:t>
                      </w:r>
                    </w:p>
                    <w:p w:rsidR="00134ACC" w:rsidRPr="00134ACC" w:rsidRDefault="00134ACC" w:rsidP="00134ACC">
                      <w:pPr>
                        <w:spacing w:after="0" w:line="240" w:lineRule="auto"/>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б) виключення із переліку окремих форм та умов проведення діяльності у сфері торгівлі, громадського харчування та послуг, яким дозволено проводити розрахункові операції без застосування РРО та/або програмних РРО з використанням РК та КОРО таких форм діяльності, як: </w:t>
                      </w:r>
                    </w:p>
                    <w:p w:rsidR="00134ACC" w:rsidRPr="00134ACC" w:rsidRDefault="00134ACC" w:rsidP="0066587F">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 надання побутових послуг хімічного чищення; </w:t>
                      </w:r>
                    </w:p>
                    <w:p w:rsidR="00134ACC" w:rsidRPr="00134ACC" w:rsidRDefault="00134ACC" w:rsidP="0066587F">
                      <w:pPr>
                        <w:spacing w:after="0" w:line="240" w:lineRule="auto"/>
                        <w:ind w:firstLine="567"/>
                        <w:jc w:val="both"/>
                        <w:rPr>
                          <w:rFonts w:ascii="e-Ukraine" w:hAnsi="e-Ukraine" w:cs="Times New Roman"/>
                          <w:sz w:val="34"/>
                          <w:szCs w:val="34"/>
                          <w:lang w:eastAsia="ru-RU"/>
                        </w:rPr>
                      </w:pPr>
                      <w:r w:rsidRPr="00134ACC">
                        <w:rPr>
                          <w:rFonts w:ascii="e-Ukraine" w:hAnsi="e-Ukraine" w:cs="Times New Roman"/>
                          <w:sz w:val="34"/>
                          <w:szCs w:val="34"/>
                          <w:lang w:eastAsia="ru-RU"/>
                        </w:rPr>
                        <w:t xml:space="preserve">- страхування майнових та особистих ризиків фізичних осіб, яке проводиться страховими агентами за межами приміщення страховика; </w:t>
                      </w:r>
                    </w:p>
                    <w:p w:rsidR="00134ACC" w:rsidRDefault="00134ACC" w:rsidP="0066587F">
                      <w:pPr>
                        <w:spacing w:after="0" w:line="240" w:lineRule="auto"/>
                        <w:ind w:firstLine="567"/>
                        <w:jc w:val="both"/>
                        <w:rPr>
                          <w:rFonts w:ascii="e-Ukraine" w:hAnsi="e-Ukraine" w:cs="Times New Roman"/>
                          <w:sz w:val="34"/>
                          <w:szCs w:val="34"/>
                          <w:lang w:val="en-US" w:eastAsia="ru-RU"/>
                        </w:rPr>
                      </w:pPr>
                      <w:r w:rsidRPr="00134ACC">
                        <w:rPr>
                          <w:rFonts w:ascii="e-Ukraine" w:hAnsi="e-Ukraine" w:cs="Times New Roman"/>
                          <w:sz w:val="34"/>
                          <w:szCs w:val="34"/>
                          <w:lang w:eastAsia="ru-RU"/>
                        </w:rPr>
                        <w:t xml:space="preserve">- організація прийому та обслуговування туристів в Україні, розрахунки за які проводяться у безготівковій формі (із застосуванням платіжних карток, платіжних чеків), а також надання туристичних та екскурсійних послуг за умови проведення розрахунків за межами стаціонарних приміщень суб’єктів туристичної та екскурсійної діяльності. </w:t>
                      </w:r>
                    </w:p>
                    <w:p w:rsidR="0066587F" w:rsidRPr="0066587F" w:rsidRDefault="0066587F" w:rsidP="0066587F">
                      <w:pPr>
                        <w:spacing w:after="0" w:line="240" w:lineRule="auto"/>
                        <w:ind w:firstLine="567"/>
                        <w:jc w:val="both"/>
                        <w:rPr>
                          <w:rFonts w:ascii="e-Ukraine" w:hAnsi="e-Ukraine" w:cs="Times New Roman"/>
                          <w:sz w:val="34"/>
                          <w:szCs w:val="34"/>
                          <w:lang w:val="en-US" w:eastAsia="ru-RU"/>
                        </w:rPr>
                      </w:pPr>
                    </w:p>
                    <w:p w:rsidR="00134ACC" w:rsidRPr="00134ACC" w:rsidRDefault="00134ACC" w:rsidP="00134ACC">
                      <w:pPr>
                        <w:spacing w:after="0" w:line="240" w:lineRule="auto"/>
                        <w:jc w:val="both"/>
                        <w:rPr>
                          <w:rFonts w:ascii="e-Ukraine" w:hAnsi="e-Ukraine" w:cs="Times New Roman"/>
                          <w:sz w:val="34"/>
                          <w:szCs w:val="34"/>
                          <w:lang w:eastAsia="ru-RU"/>
                        </w:rPr>
                      </w:pPr>
                      <w:proofErr w:type="spellStart"/>
                      <w:r w:rsidRPr="00134ACC">
                        <w:rPr>
                          <w:rFonts w:ascii="e-Ukraine" w:hAnsi="e-Ukraine" w:cs="Times New Roman"/>
                          <w:b/>
                          <w:bCs/>
                          <w:i/>
                          <w:iCs/>
                          <w:sz w:val="34"/>
                          <w:szCs w:val="34"/>
                          <w:lang w:eastAsia="ru-RU"/>
                        </w:rPr>
                        <w:t>Довідково</w:t>
                      </w:r>
                      <w:proofErr w:type="spellEnd"/>
                      <w:r w:rsidRPr="00134ACC">
                        <w:rPr>
                          <w:rFonts w:ascii="e-Ukraine" w:hAnsi="e-Ukraine" w:cs="Times New Roman"/>
                          <w:sz w:val="34"/>
                          <w:szCs w:val="34"/>
                          <w:lang w:eastAsia="ru-RU"/>
                        </w:rPr>
                        <w:t xml:space="preserve"> </w:t>
                      </w:r>
                    </w:p>
                    <w:p w:rsidR="00134ACC" w:rsidRPr="00134ACC" w:rsidRDefault="00134ACC" w:rsidP="00134ACC">
                      <w:pPr>
                        <w:spacing w:after="0" w:line="240" w:lineRule="auto"/>
                        <w:jc w:val="both"/>
                        <w:rPr>
                          <w:rFonts w:ascii="e-Ukraine" w:hAnsi="e-Ukraine" w:cs="Times New Roman"/>
                          <w:sz w:val="34"/>
                          <w:szCs w:val="34"/>
                          <w:lang w:eastAsia="ru-RU"/>
                        </w:rPr>
                      </w:pPr>
                      <w:r w:rsidRPr="00134ACC">
                        <w:rPr>
                          <w:rFonts w:ascii="e-Ukraine" w:hAnsi="e-Ukraine" w:cs="Times New Roman"/>
                          <w:sz w:val="34"/>
                          <w:szCs w:val="34"/>
                          <w:lang w:eastAsia="ru-RU"/>
                        </w:rPr>
                        <w:t>Статтею 8 Закону України від</w:t>
                      </w:r>
                      <w:r w:rsidR="0066587F" w:rsidRPr="0066587F">
                        <w:rPr>
                          <w:rFonts w:ascii="e-Ukraine" w:hAnsi="e-Ukraine" w:cs="Times New Roman"/>
                          <w:sz w:val="34"/>
                          <w:szCs w:val="34"/>
                          <w:lang w:val="ru-RU" w:eastAsia="ru-RU"/>
                        </w:rPr>
                        <w:t xml:space="preserve">          </w:t>
                      </w:r>
                      <w:r w:rsidRPr="00134ACC">
                        <w:rPr>
                          <w:rFonts w:ascii="e-Ukraine" w:hAnsi="e-Ukraine" w:cs="Times New Roman"/>
                          <w:sz w:val="34"/>
                          <w:szCs w:val="34"/>
                          <w:lang w:eastAsia="ru-RU"/>
                        </w:rPr>
                        <w:t xml:space="preserve"> 02 грудня 2021 року № 1928-IX «Про Державний бюджет України на</w:t>
                      </w:r>
                      <w:r w:rsidR="00C0043B" w:rsidRPr="00C0043B">
                        <w:rPr>
                          <w:rFonts w:ascii="e-Ukraine" w:hAnsi="e-Ukraine" w:cs="Times New Roman"/>
                          <w:sz w:val="34"/>
                          <w:szCs w:val="34"/>
                          <w:lang w:val="ru-RU" w:eastAsia="ru-RU"/>
                        </w:rPr>
                        <w:t xml:space="preserve">    </w:t>
                      </w:r>
                      <w:r w:rsidRPr="00134ACC">
                        <w:rPr>
                          <w:rFonts w:ascii="e-Ukraine" w:hAnsi="e-Ukraine" w:cs="Times New Roman"/>
                          <w:sz w:val="34"/>
                          <w:szCs w:val="34"/>
                          <w:lang w:eastAsia="ru-RU"/>
                        </w:rPr>
                        <w:t xml:space="preserve"> 2022 рік» з 01 січня 2022 року встановлена мінімальна зарплата у місячному розмірі 6 500 гривень. </w:t>
                      </w:r>
                    </w:p>
                    <w:p w:rsidR="00321B22" w:rsidRPr="00134ACC" w:rsidRDefault="00321B22" w:rsidP="00FA6B22">
                      <w:pPr>
                        <w:rPr>
                          <w:rFonts w:ascii="e-Ukraine" w:hAnsi="e-Ukraine"/>
                          <w:sz w:val="34"/>
                          <w:szCs w:val="34"/>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321B22" w:rsidRPr="00EE0AF6" w:rsidRDefault="00321B22"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321B22" w:rsidRPr="00CA1C7A" w:rsidRDefault="00321B22" w:rsidP="005B2E53">
                        <w:pPr>
                          <w:jc w:val="center"/>
                          <w:rPr>
                            <w:b/>
                            <w:bCs/>
                            <w:color w:val="BFBFBF"/>
                          </w:rPr>
                        </w:pPr>
                        <w:r>
                          <w:rPr>
                            <w:b/>
                            <w:bCs/>
                            <w:color w:val="BFBFBF"/>
                          </w:rPr>
                          <w:t>7</w:t>
                        </w:r>
                      </w:p>
                    </w:txbxContent>
                  </v:textbox>
                </v:shape>
              </v:group>
            </v:group>
          </v:group>
        </w:pict>
      </w:r>
      <w:r w:rsidR="0085592E">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85592E">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Pr="00413F2C" w:rsidRDefault="00321B22" w:rsidP="005B38A6">
      <w:pPr>
        <w:tabs>
          <w:tab w:val="left" w:pos="8680"/>
        </w:tabs>
        <w:rPr>
          <w:lang w:val="ru-RU"/>
        </w:rPr>
      </w:pPr>
    </w:p>
    <w:p w:rsidR="00321B22" w:rsidRDefault="00321B22" w:rsidP="005B38A6">
      <w:pPr>
        <w:tabs>
          <w:tab w:val="left" w:pos="8680"/>
        </w:tabs>
      </w:pPr>
      <w:r>
        <w:tab/>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85592E">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1B02A3">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321B22" w:rsidRPr="00A80352" w:rsidRDefault="00321B22" w:rsidP="00A80352"/>
              </w:txbxContent>
            </v:textbox>
            <w10:anchorlock/>
          </v:shape>
        </w:pict>
      </w:r>
    </w:p>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Default="00321B22"/>
    <w:p w:rsidR="00321B22" w:rsidRPr="0088080D" w:rsidRDefault="00321B22"/>
    <w:p w:rsidR="00321B22" w:rsidRDefault="00321B22"/>
    <w:p w:rsidR="00321B22" w:rsidRDefault="00321B22" w:rsidP="001F1C4D">
      <w:pPr>
        <w:jc w:val="center"/>
      </w:pPr>
    </w:p>
    <w:p w:rsidR="00321B22" w:rsidRDefault="00321B22"/>
    <w:p w:rsidR="00321B22" w:rsidRDefault="00321B22"/>
    <w:p w:rsidR="00321B22" w:rsidRDefault="001B02A3">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321B22" w:rsidRPr="00EE0AF6" w:rsidRDefault="00321B22"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321B22" w:rsidRPr="00CA1C7A" w:rsidRDefault="00321B22" w:rsidP="005B2E53">
                        <w:pPr>
                          <w:jc w:val="center"/>
                          <w:rPr>
                            <w:b/>
                            <w:bCs/>
                            <w:color w:val="BFBFBF"/>
                          </w:rPr>
                        </w:pPr>
                        <w:r>
                          <w:rPr>
                            <w:b/>
                            <w:bCs/>
                            <w:color w:val="BFBFBF"/>
                          </w:rPr>
                          <w:t>5</w:t>
                        </w:r>
                      </w:p>
                    </w:txbxContent>
                  </v:textbox>
                </v:shape>
              </v:group>
            </v:group>
            <w10:anchorlock/>
          </v:group>
        </w:pict>
      </w:r>
    </w:p>
    <w:p w:rsidR="00321B22" w:rsidRPr="0088080D" w:rsidRDefault="00321B22"/>
    <w:p w:rsidR="00321B22" w:rsidRPr="0088080D" w:rsidRDefault="0085592E">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6">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1B02A3">
        <w:rPr>
          <w:noProof/>
          <w:lang w:val="ru-RU" w:eastAsia="ru-RU"/>
        </w:rPr>
        <w:pict>
          <v:group id="Группа 144" o:spid="_x0000_s1067" style="position:absolute;margin-left:0;margin-top:-18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321B22" w:rsidRPr="00CA1C7A" w:rsidRDefault="00321B22"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321B22" w:rsidRPr="0087316D" w:rsidRDefault="00321B22" w:rsidP="005B2E53">
                        <w:pPr>
                          <w:jc w:val="center"/>
                          <w:rPr>
                            <w:b/>
                            <w:bCs/>
                            <w:color w:val="BFBFBF"/>
                          </w:rPr>
                        </w:pPr>
                        <w:r>
                          <w:rPr>
                            <w:b/>
                            <w:bCs/>
                            <w:color w:val="BFBFBF"/>
                          </w:rPr>
                          <w:t>3</w:t>
                        </w:r>
                      </w:p>
                    </w:txbxContent>
                  </v:textbox>
                </v:shape>
              </v:group>
            </v:group>
            <w10:anchorlock/>
          </v:group>
        </w:pict>
      </w:r>
    </w:p>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p w:rsidR="00321B22" w:rsidRPr="0088080D" w:rsidRDefault="00321B22"/>
    <w:sectPr w:rsidR="00321B22"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46DF"/>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54A9"/>
    <w:rsid w:val="00086AD5"/>
    <w:rsid w:val="00092687"/>
    <w:rsid w:val="00093292"/>
    <w:rsid w:val="000A16E2"/>
    <w:rsid w:val="000A5719"/>
    <w:rsid w:val="000B18C9"/>
    <w:rsid w:val="000C584A"/>
    <w:rsid w:val="000C59BA"/>
    <w:rsid w:val="000C7D9E"/>
    <w:rsid w:val="000D22D3"/>
    <w:rsid w:val="000E4D69"/>
    <w:rsid w:val="000E7558"/>
    <w:rsid w:val="000E7A8B"/>
    <w:rsid w:val="000F1E75"/>
    <w:rsid w:val="000F626F"/>
    <w:rsid w:val="001029F3"/>
    <w:rsid w:val="001102DE"/>
    <w:rsid w:val="00111DAA"/>
    <w:rsid w:val="001124B4"/>
    <w:rsid w:val="0011267A"/>
    <w:rsid w:val="0011782B"/>
    <w:rsid w:val="00117EC8"/>
    <w:rsid w:val="00122CC9"/>
    <w:rsid w:val="0012352E"/>
    <w:rsid w:val="001243F0"/>
    <w:rsid w:val="00132CE1"/>
    <w:rsid w:val="00134ACC"/>
    <w:rsid w:val="00134E38"/>
    <w:rsid w:val="001350CE"/>
    <w:rsid w:val="0014586D"/>
    <w:rsid w:val="0014638D"/>
    <w:rsid w:val="00146C68"/>
    <w:rsid w:val="00153288"/>
    <w:rsid w:val="00156D0A"/>
    <w:rsid w:val="00161C66"/>
    <w:rsid w:val="001664ED"/>
    <w:rsid w:val="001710FF"/>
    <w:rsid w:val="00172462"/>
    <w:rsid w:val="00180DFF"/>
    <w:rsid w:val="0018382E"/>
    <w:rsid w:val="00183C85"/>
    <w:rsid w:val="0018441F"/>
    <w:rsid w:val="0018790C"/>
    <w:rsid w:val="001A288F"/>
    <w:rsid w:val="001A43DA"/>
    <w:rsid w:val="001A503D"/>
    <w:rsid w:val="001A6A89"/>
    <w:rsid w:val="001B02A3"/>
    <w:rsid w:val="001B69D4"/>
    <w:rsid w:val="001C4586"/>
    <w:rsid w:val="001C4E02"/>
    <w:rsid w:val="001C569D"/>
    <w:rsid w:val="001C62B4"/>
    <w:rsid w:val="001D1D58"/>
    <w:rsid w:val="001D333B"/>
    <w:rsid w:val="001D4888"/>
    <w:rsid w:val="001D530C"/>
    <w:rsid w:val="001E0EA9"/>
    <w:rsid w:val="001E0F13"/>
    <w:rsid w:val="001E2282"/>
    <w:rsid w:val="001E7568"/>
    <w:rsid w:val="001E760F"/>
    <w:rsid w:val="001F1C4D"/>
    <w:rsid w:val="001F41E7"/>
    <w:rsid w:val="001F76C7"/>
    <w:rsid w:val="002004AE"/>
    <w:rsid w:val="00201D42"/>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76BA"/>
    <w:rsid w:val="002C3499"/>
    <w:rsid w:val="002C5612"/>
    <w:rsid w:val="002C5AAE"/>
    <w:rsid w:val="002C70B7"/>
    <w:rsid w:val="002D02CE"/>
    <w:rsid w:val="002D4FA9"/>
    <w:rsid w:val="002E194E"/>
    <w:rsid w:val="002E5469"/>
    <w:rsid w:val="002E7E0F"/>
    <w:rsid w:val="002F2C62"/>
    <w:rsid w:val="002F626D"/>
    <w:rsid w:val="0030057A"/>
    <w:rsid w:val="00302844"/>
    <w:rsid w:val="00306C8A"/>
    <w:rsid w:val="00307656"/>
    <w:rsid w:val="003149C9"/>
    <w:rsid w:val="00321B22"/>
    <w:rsid w:val="00323260"/>
    <w:rsid w:val="003246D2"/>
    <w:rsid w:val="003300DC"/>
    <w:rsid w:val="00333560"/>
    <w:rsid w:val="00336F93"/>
    <w:rsid w:val="00342760"/>
    <w:rsid w:val="00343252"/>
    <w:rsid w:val="00347B59"/>
    <w:rsid w:val="003501B0"/>
    <w:rsid w:val="00354CA4"/>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9392D"/>
    <w:rsid w:val="004968B0"/>
    <w:rsid w:val="004A123D"/>
    <w:rsid w:val="004A2F3B"/>
    <w:rsid w:val="004A5C90"/>
    <w:rsid w:val="004B0FCE"/>
    <w:rsid w:val="004B1CE5"/>
    <w:rsid w:val="004C3977"/>
    <w:rsid w:val="004C6570"/>
    <w:rsid w:val="004C7D16"/>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5F7A71"/>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6587F"/>
    <w:rsid w:val="006668A4"/>
    <w:rsid w:val="00666919"/>
    <w:rsid w:val="00671D8D"/>
    <w:rsid w:val="00673141"/>
    <w:rsid w:val="00674319"/>
    <w:rsid w:val="0067468D"/>
    <w:rsid w:val="006779C9"/>
    <w:rsid w:val="00680E96"/>
    <w:rsid w:val="00682982"/>
    <w:rsid w:val="0069230D"/>
    <w:rsid w:val="00693441"/>
    <w:rsid w:val="006969D3"/>
    <w:rsid w:val="006A12D2"/>
    <w:rsid w:val="006A2F44"/>
    <w:rsid w:val="006A4920"/>
    <w:rsid w:val="006A5BCD"/>
    <w:rsid w:val="006A64C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440F0"/>
    <w:rsid w:val="00744C0A"/>
    <w:rsid w:val="00751B83"/>
    <w:rsid w:val="00756FF8"/>
    <w:rsid w:val="0076154A"/>
    <w:rsid w:val="00761CE9"/>
    <w:rsid w:val="0076414F"/>
    <w:rsid w:val="00764A12"/>
    <w:rsid w:val="0076547A"/>
    <w:rsid w:val="00770462"/>
    <w:rsid w:val="007774C8"/>
    <w:rsid w:val="0077793B"/>
    <w:rsid w:val="00777DC4"/>
    <w:rsid w:val="007828A3"/>
    <w:rsid w:val="00785DAA"/>
    <w:rsid w:val="00791143"/>
    <w:rsid w:val="00791F39"/>
    <w:rsid w:val="007928CF"/>
    <w:rsid w:val="007A1BC2"/>
    <w:rsid w:val="007A4207"/>
    <w:rsid w:val="007A70FA"/>
    <w:rsid w:val="007B0CD3"/>
    <w:rsid w:val="007B2B1C"/>
    <w:rsid w:val="007B449A"/>
    <w:rsid w:val="007B68DF"/>
    <w:rsid w:val="007C1B95"/>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31F68"/>
    <w:rsid w:val="008407A3"/>
    <w:rsid w:val="00840BC3"/>
    <w:rsid w:val="00843E52"/>
    <w:rsid w:val="00851B82"/>
    <w:rsid w:val="008525A5"/>
    <w:rsid w:val="00852B54"/>
    <w:rsid w:val="00853986"/>
    <w:rsid w:val="00853BA3"/>
    <w:rsid w:val="0085504C"/>
    <w:rsid w:val="0085592E"/>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18D8"/>
    <w:rsid w:val="00921C3A"/>
    <w:rsid w:val="00931BCA"/>
    <w:rsid w:val="009323FD"/>
    <w:rsid w:val="00934815"/>
    <w:rsid w:val="009360BC"/>
    <w:rsid w:val="00937992"/>
    <w:rsid w:val="00940FD6"/>
    <w:rsid w:val="00943E3B"/>
    <w:rsid w:val="00943F0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C73B1"/>
    <w:rsid w:val="009D04F2"/>
    <w:rsid w:val="009D06E7"/>
    <w:rsid w:val="009D3104"/>
    <w:rsid w:val="009D3DDB"/>
    <w:rsid w:val="009E350B"/>
    <w:rsid w:val="009E4E1A"/>
    <w:rsid w:val="009E6DE5"/>
    <w:rsid w:val="009F3D71"/>
    <w:rsid w:val="00A05D77"/>
    <w:rsid w:val="00A108D2"/>
    <w:rsid w:val="00A14E8F"/>
    <w:rsid w:val="00A2261B"/>
    <w:rsid w:val="00A23170"/>
    <w:rsid w:val="00A25956"/>
    <w:rsid w:val="00A40C24"/>
    <w:rsid w:val="00A4204E"/>
    <w:rsid w:val="00A61DC1"/>
    <w:rsid w:val="00A63DF0"/>
    <w:rsid w:val="00A66053"/>
    <w:rsid w:val="00A67C4E"/>
    <w:rsid w:val="00A70671"/>
    <w:rsid w:val="00A7138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83A0B"/>
    <w:rsid w:val="00B93682"/>
    <w:rsid w:val="00B95118"/>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43B"/>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2823"/>
    <w:rsid w:val="00DF5FA7"/>
    <w:rsid w:val="00E00D7B"/>
    <w:rsid w:val="00E01CC7"/>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3AD0"/>
    <w:rsid w:val="00F90258"/>
    <w:rsid w:val="00FA61B2"/>
    <w:rsid w:val="00FA6B2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rPr>
  </w:style>
  <w:style w:type="paragraph" w:customStyle="1" w:styleId="13">
    <w:name w:val="Без интервала1"/>
    <w:uiPriority w:val="99"/>
    <w:rsid w:val="006F59B3"/>
    <w:rPr>
      <w:rFonts w:cs="Calibri"/>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Antiqua"/>
      <w:lang w:val="ru-RU"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354CA4"/>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365135730">
      <w:marLeft w:val="0"/>
      <w:marRight w:val="0"/>
      <w:marTop w:val="0"/>
      <w:marBottom w:val="0"/>
      <w:divBdr>
        <w:top w:val="none" w:sz="0" w:space="0" w:color="auto"/>
        <w:left w:val="none" w:sz="0" w:space="0" w:color="auto"/>
        <w:bottom w:val="none" w:sz="0" w:space="0" w:color="auto"/>
        <w:right w:val="none" w:sz="0" w:space="0" w:color="auto"/>
      </w:divBdr>
    </w:div>
    <w:div w:id="1365135731">
      <w:marLeft w:val="0"/>
      <w:marRight w:val="0"/>
      <w:marTop w:val="0"/>
      <w:marBottom w:val="0"/>
      <w:divBdr>
        <w:top w:val="none" w:sz="0" w:space="0" w:color="auto"/>
        <w:left w:val="none" w:sz="0" w:space="0" w:color="auto"/>
        <w:bottom w:val="none" w:sz="0" w:space="0" w:color="auto"/>
        <w:right w:val="none" w:sz="0" w:space="0" w:color="auto"/>
      </w:divBdr>
    </w:div>
    <w:div w:id="1365135732">
      <w:marLeft w:val="0"/>
      <w:marRight w:val="0"/>
      <w:marTop w:val="0"/>
      <w:marBottom w:val="0"/>
      <w:divBdr>
        <w:top w:val="none" w:sz="0" w:space="0" w:color="auto"/>
        <w:left w:val="none" w:sz="0" w:space="0" w:color="auto"/>
        <w:bottom w:val="none" w:sz="0" w:space="0" w:color="auto"/>
        <w:right w:val="none" w:sz="0" w:space="0" w:color="auto"/>
      </w:divBdr>
    </w:div>
    <w:div w:id="1365135733">
      <w:marLeft w:val="0"/>
      <w:marRight w:val="0"/>
      <w:marTop w:val="0"/>
      <w:marBottom w:val="0"/>
      <w:divBdr>
        <w:top w:val="none" w:sz="0" w:space="0" w:color="auto"/>
        <w:left w:val="none" w:sz="0" w:space="0" w:color="auto"/>
        <w:bottom w:val="none" w:sz="0" w:space="0" w:color="auto"/>
        <w:right w:val="none" w:sz="0" w:space="0" w:color="auto"/>
      </w:divBdr>
    </w:div>
    <w:div w:id="1365135734">
      <w:marLeft w:val="0"/>
      <w:marRight w:val="0"/>
      <w:marTop w:val="0"/>
      <w:marBottom w:val="0"/>
      <w:divBdr>
        <w:top w:val="none" w:sz="0" w:space="0" w:color="auto"/>
        <w:left w:val="none" w:sz="0" w:space="0" w:color="auto"/>
        <w:bottom w:val="none" w:sz="0" w:space="0" w:color="auto"/>
        <w:right w:val="none" w:sz="0" w:space="0" w:color="auto"/>
      </w:divBdr>
    </w:div>
    <w:div w:id="1365135735">
      <w:marLeft w:val="0"/>
      <w:marRight w:val="0"/>
      <w:marTop w:val="0"/>
      <w:marBottom w:val="0"/>
      <w:divBdr>
        <w:top w:val="none" w:sz="0" w:space="0" w:color="auto"/>
        <w:left w:val="none" w:sz="0" w:space="0" w:color="auto"/>
        <w:bottom w:val="none" w:sz="0" w:space="0" w:color="auto"/>
        <w:right w:val="none" w:sz="0" w:space="0" w:color="auto"/>
      </w:divBdr>
    </w:div>
    <w:div w:id="1365135736">
      <w:marLeft w:val="0"/>
      <w:marRight w:val="0"/>
      <w:marTop w:val="0"/>
      <w:marBottom w:val="0"/>
      <w:divBdr>
        <w:top w:val="none" w:sz="0" w:space="0" w:color="auto"/>
        <w:left w:val="none" w:sz="0" w:space="0" w:color="auto"/>
        <w:bottom w:val="none" w:sz="0" w:space="0" w:color="auto"/>
        <w:right w:val="none" w:sz="0" w:space="0" w:color="auto"/>
      </w:divBdr>
    </w:div>
    <w:div w:id="1365135737">
      <w:marLeft w:val="0"/>
      <w:marRight w:val="0"/>
      <w:marTop w:val="0"/>
      <w:marBottom w:val="0"/>
      <w:divBdr>
        <w:top w:val="none" w:sz="0" w:space="0" w:color="auto"/>
        <w:left w:val="none" w:sz="0" w:space="0" w:color="auto"/>
        <w:bottom w:val="none" w:sz="0" w:space="0" w:color="auto"/>
        <w:right w:val="none" w:sz="0" w:space="0" w:color="auto"/>
      </w:divBdr>
    </w:div>
    <w:div w:id="1365135738">
      <w:marLeft w:val="0"/>
      <w:marRight w:val="0"/>
      <w:marTop w:val="0"/>
      <w:marBottom w:val="0"/>
      <w:divBdr>
        <w:top w:val="none" w:sz="0" w:space="0" w:color="auto"/>
        <w:left w:val="none" w:sz="0" w:space="0" w:color="auto"/>
        <w:bottom w:val="none" w:sz="0" w:space="0" w:color="auto"/>
        <w:right w:val="none" w:sz="0" w:space="0" w:color="auto"/>
      </w:divBdr>
    </w:div>
    <w:div w:id="1365135739">
      <w:marLeft w:val="0"/>
      <w:marRight w:val="0"/>
      <w:marTop w:val="0"/>
      <w:marBottom w:val="0"/>
      <w:divBdr>
        <w:top w:val="none" w:sz="0" w:space="0" w:color="auto"/>
        <w:left w:val="none" w:sz="0" w:space="0" w:color="auto"/>
        <w:bottom w:val="none" w:sz="0" w:space="0" w:color="auto"/>
        <w:right w:val="none" w:sz="0" w:space="0" w:color="auto"/>
      </w:divBdr>
    </w:div>
    <w:div w:id="1365135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Words>
  <Characters>83</Characters>
  <Application>Microsoft Office Word</Application>
  <DocSecurity>0</DocSecurity>
  <Lines>1</Lines>
  <Paragraphs>1</Paragraphs>
  <ScaleCrop>false</ScaleCrop>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8</cp:revision>
  <cp:lastPrinted>2021-08-13T12:28:00Z</cp:lastPrinted>
  <dcterms:created xsi:type="dcterms:W3CDTF">2022-02-01T14:00:00Z</dcterms:created>
  <dcterms:modified xsi:type="dcterms:W3CDTF">2022-02-02T07:29:00Z</dcterms:modified>
</cp:coreProperties>
</file>