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69" w:rsidRDefault="00920F69">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920F69" w:rsidRDefault="00920F69"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920F69" w:rsidRDefault="00920F69"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920F69" w:rsidRPr="00B31800" w:rsidRDefault="00920F69" w:rsidP="00413F2C">
                  <w:pPr>
                    <w:spacing w:after="0" w:line="240" w:lineRule="auto"/>
                    <w:rPr>
                      <w:rFonts w:ascii="e-Ukraine" w:hAnsi="e-Ukraine" w:cs="e-Ukraine"/>
                      <w:sz w:val="16"/>
                      <w:szCs w:val="16"/>
                    </w:rPr>
                  </w:pPr>
                </w:p>
                <w:p w:rsidR="00920F69" w:rsidRPr="006C0696" w:rsidRDefault="00920F69" w:rsidP="00413F2C">
                  <w:pPr>
                    <w:spacing w:after="0" w:line="240" w:lineRule="auto"/>
                    <w:rPr>
                      <w:rFonts w:ascii="e-Ukraine" w:hAnsi="e-Ukraine" w:cs="e-Ukraine"/>
                      <w:sz w:val="6"/>
                      <w:szCs w:val="6"/>
                    </w:rPr>
                  </w:pPr>
                </w:p>
                <w:p w:rsidR="00920F69" w:rsidRPr="006C0696" w:rsidRDefault="00920F69"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920F69" w:rsidRPr="006C0696" w:rsidRDefault="00920F69"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920F69" w:rsidRPr="002F1AE8" w:rsidRDefault="00920F69" w:rsidP="002F1AE8">
                  <w:pPr>
                    <w:spacing w:before="100" w:beforeAutospacing="1" w:after="100" w:afterAutospacing="1"/>
                    <w:outlineLvl w:val="0"/>
                    <w:rPr>
                      <w:rFonts w:ascii="Arial" w:hAnsi="Arial" w:cs="Arial"/>
                      <w:b/>
                      <w:bCs/>
                      <w:kern w:val="36"/>
                      <w:sz w:val="42"/>
                      <w:szCs w:val="42"/>
                    </w:rPr>
                  </w:pPr>
                  <w:r w:rsidRPr="002F1AE8">
                    <w:rPr>
                      <w:rFonts w:ascii="Arial" w:hAnsi="Arial" w:cs="Arial"/>
                      <w:b/>
                      <w:bCs/>
                      <w:kern w:val="36"/>
                      <w:sz w:val="42"/>
                      <w:szCs w:val="42"/>
                    </w:rPr>
                    <w:t>Ставки збору з одноразового (спеціального) добровільного декларування</w:t>
                  </w:r>
                </w:p>
                <w:p w:rsidR="00920F69" w:rsidRDefault="00920F69" w:rsidP="00891895"/>
              </w:txbxContent>
            </v:textbox>
            <w10:wrap anchorx="margin"/>
          </v:shape>
        </w:pict>
      </w:r>
    </w:p>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920F69" w:rsidRPr="00413F2C" w:rsidRDefault="00920F69" w:rsidP="00DD030F">
                  <w:pPr>
                    <w:rPr>
                      <w:rFonts w:ascii="e-Ukraine Bold" w:hAnsi="e-Ukraine Bold" w:cs="e-Ukraine Bold"/>
                      <w:b/>
                      <w:bCs/>
                      <w:i/>
                      <w:iCs/>
                      <w:sz w:val="28"/>
                      <w:szCs w:val="28"/>
                    </w:rPr>
                  </w:pPr>
                  <w:r>
                    <w:rPr>
                      <w:rFonts w:ascii="e-Ukraine Bold" w:hAnsi="e-Ukraine Bold" w:cs="e-Ukraine Bold"/>
                      <w:b/>
                      <w:bCs/>
                      <w:i/>
                      <w:iCs/>
                      <w:sz w:val="28"/>
                      <w:szCs w:val="28"/>
                      <w:lang w:val="ru-RU"/>
                    </w:rPr>
                    <w:t>грудень</w:t>
                  </w:r>
                  <w:r w:rsidRPr="00413F2C">
                    <w:rPr>
                      <w:rFonts w:ascii="e-Ukraine Bold" w:hAnsi="e-Ukraine Bold" w:cs="e-Ukraine Bold"/>
                      <w:b/>
                      <w:bCs/>
                      <w:i/>
                      <w:iCs/>
                      <w:sz w:val="28"/>
                      <w:szCs w:val="28"/>
                    </w:rPr>
                    <w:t xml:space="preserve"> 2021 року</w:t>
                  </w:r>
                </w:p>
                <w:p w:rsidR="00920F69" w:rsidRPr="00E17569" w:rsidRDefault="00920F69" w:rsidP="00E17569"/>
              </w:txbxContent>
            </v:textbox>
          </v:shape>
        </w:pict>
      </w:r>
    </w:p>
    <w:p w:rsidR="00920F69" w:rsidRDefault="00920F69">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920F69" w:rsidRPr="00607F8F" w:rsidRDefault="00920F69" w:rsidP="00607F8F">
                      <w:pPr>
                        <w:pStyle w:val="NormalWeb"/>
                        <w:spacing w:before="0" w:beforeAutospacing="0" w:after="0" w:afterAutospacing="0"/>
                        <w:ind w:firstLine="567"/>
                        <w:jc w:val="both"/>
                        <w:rPr>
                          <w:rFonts w:ascii="Arial" w:hAnsi="Arial" w:cs="Arial"/>
                          <w:sz w:val="32"/>
                          <w:szCs w:val="32"/>
                          <w:lang w:val="ru-RU"/>
                        </w:rPr>
                      </w:pPr>
                      <w:r w:rsidRPr="00607F8F">
                        <w:rPr>
                          <w:rFonts w:ascii="Arial" w:hAnsi="Arial" w:cs="Arial"/>
                          <w:sz w:val="32"/>
                          <w:szCs w:val="32"/>
                        </w:rPr>
                        <w:t>Відділ комунікацій з громадськістю управління інформаційної взаємодії Головного управління ДПС у Дніпропетровській області (Павлоградський регіон)</w:t>
                      </w:r>
                      <w:r w:rsidRPr="00607F8F">
                        <w:rPr>
                          <w:rFonts w:ascii="Arial" w:hAnsi="Arial" w:cs="Arial"/>
                          <w:sz w:val="32"/>
                          <w:szCs w:val="32"/>
                          <w:lang w:val="ru-RU"/>
                        </w:rPr>
                        <w:t xml:space="preserve"> інформує.</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Відповідно до п. 8 підрозд. 9 прим. 4 розд. XX «Перехідні положення» Податкового кодексу України від 02 грудня 2010 року № 2755-VI із змінами та доповненнями (далі – ПКУ) сума збору з одноразового (спеціального) добровільного декларування (далі – Збір) щодо задекларованих об’єктів визначається шляхом застосування до бази для нарахування Збору, визначеної згідно з п. 7 підрозд. 9 прим. 4 розд. XX «Перехідні положення» ПКУ, ставок у таких розмірах: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8.1. Ставка 5 відс.: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щодо валютних цінностей, розміщених на рахунках у банках в Україні з дотриманням вимог п. 9 підрозд. 9 прим. 4 розд. XX «Перехідні положення» ПКУ, та щодо права грошової вимоги до резидентів України, визначених п.п. «а» п. 4 підрозд. 9 прим. 4 розд. XX «Перехідні положення» ПКУ;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щодо об’єктів декларування, визначених підпунктами «б» – «е» п. 4 підрозд. 9 прим. 4 розд. XX «Перехідні положення» ПКУ, що знаходяться (зареєстровані) в Україні, крім</w:t>
                      </w:r>
                      <w:r w:rsidRPr="00607F8F">
                        <w:rPr>
                          <w:rFonts w:ascii="e-Ukraine" w:hAnsi="e-Ukraine" w:cs="e-Ukraine"/>
                          <w:sz w:val="32"/>
                          <w:szCs w:val="32"/>
                        </w:rPr>
                        <w:t xml:space="preserve"> </w:t>
                      </w:r>
                      <w:r w:rsidRPr="00607F8F">
                        <w:rPr>
                          <w:rFonts w:ascii="Arial" w:hAnsi="Arial" w:cs="Arial"/>
                          <w:sz w:val="32"/>
                          <w:szCs w:val="32"/>
                        </w:rPr>
                        <w:t>тих, які оподатковуються за ставкою, визначеною п.п. 8.3 п.</w:t>
                      </w:r>
                      <w:r w:rsidRPr="00607F8F">
                        <w:rPr>
                          <w:rFonts w:ascii="Arial" w:hAnsi="Arial" w:cs="Arial"/>
                          <w:sz w:val="30"/>
                          <w:szCs w:val="30"/>
                        </w:rPr>
                        <w:t xml:space="preserve"> </w:t>
                      </w:r>
                      <w:r w:rsidRPr="00607F8F">
                        <w:rPr>
                          <w:rFonts w:ascii="Arial" w:hAnsi="Arial" w:cs="Arial"/>
                          <w:sz w:val="32"/>
                          <w:szCs w:val="32"/>
                        </w:rPr>
                        <w:t xml:space="preserve">8 підрозд. 9 прим. 4 розд. XX «Перехідні положення» ПКУ.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У цілях одноразового (спеціального) добровільного декларування для застосування передбаченої п.п. 8.1 п. 8 підрозд. 9 прим. 4 розд. XX «Перехідні положення» ПКУ ставки Збору на дату подання одноразової (спеціальної) добровільної декларації (далі – Декларація) кошти декларанта в національній та іноземній валютах, банківських металах мають бути розміщені на рахунках у банках України.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Як альтернативу платник податків може обрати ставку 6 відс. із сплатою податкового зобов’язання трьома рівними частинами щорічно.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При цьому підпунктами «б» – «е» п. 4 підрозд. 9 прим. 4 розд. XX «Перехідні положення» ПКУ об’єктами одноразового (спеціального) добровільного декларування визначені такі активи: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б) нерухоме майно (земельні ділянки, об’єкти житлової і нежитлової нерухомості).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Для цілей цього підрозділу до нерухомого майна належать також об’єкти незавершеного будівництва, які: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не прийняті в експлуатацію або право</w:t>
                      </w:r>
                      <w:r w:rsidRPr="00607F8F">
                        <w:rPr>
                          <w:rFonts w:ascii="Arial" w:hAnsi="Arial" w:cs="Arial"/>
                          <w:sz w:val="30"/>
                          <w:szCs w:val="30"/>
                        </w:rPr>
                        <w:t xml:space="preserve"> </w:t>
                      </w:r>
                      <w:r w:rsidRPr="00607F8F">
                        <w:rPr>
                          <w:rFonts w:ascii="Arial" w:hAnsi="Arial" w:cs="Arial"/>
                          <w:sz w:val="32"/>
                          <w:szCs w:val="32"/>
                        </w:rPr>
                        <w:t xml:space="preserve">власності на які не зареєстроване в установленому законом порядку, але майнові права на такі об’єкти належать декларанту на праві власності;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не прийняті в експлуатацію та розташовані на земельних ділянках, що належать декларанту на праві приватної власності, включаючи спільну власність, або на праві довгострокової оренди або на праві суперфіцію;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в) рухоме майно, у тому числі: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транспортні засоби та інші самохідні машини і механізми;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інше цінне рухоме майно (предмети мистецтва та антикваріату, дорогоцінні метали, дорогоцінне каміння, ювелірні вироби тощо);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г) частки (паї) у майні юридичних осіб або в утвореннях без статусу юридичної особи, інші корпоративні права, майнові права на об’єкти інтелектуальної власності;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ґ) цінні папери та/або фінансові інструменти, визначені законом;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д) права на отримання дивідендів, процентів чи іншої аналогічної майнової вигоди, не пов’язані із</w:t>
                      </w:r>
                      <w:r w:rsidRPr="00607F8F">
                        <w:rPr>
                          <w:rFonts w:ascii="Arial" w:hAnsi="Arial" w:cs="Arial"/>
                          <w:sz w:val="30"/>
                          <w:szCs w:val="30"/>
                        </w:rPr>
                        <w:t xml:space="preserve"> </w:t>
                      </w:r>
                      <w:r w:rsidRPr="00607F8F">
                        <w:rPr>
                          <w:rFonts w:ascii="Arial" w:hAnsi="Arial" w:cs="Arial"/>
                          <w:sz w:val="32"/>
                          <w:szCs w:val="32"/>
                        </w:rPr>
                        <w:t xml:space="preserve">правом власності на цінні папери, частки (паї) у майні юридичних осіб та/або в утвореннях без статусу юридичної особи;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е) інші активи фізичної особи, у тому числі майно, банківські метали, що не розміщені на рахунках, пам’ятні банкноти та монети, майнові права, що належать декларанту або з яких декларант отримує чи має право отримувати доходи на підставі договору про управління майном чи іншого аналогічного правочину та не сплачує власнику такого майна частину належного власнику доходу.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8.2. Ставка 9 відс.: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щодо валютних цінностей, розміщених на рахунках в іноземних банках або які зберігаються в іноземних фінансових установах, та щодо права грошової вимоги до нерезидентів України, визначених п.п. «а» п. 4 підрозд. 9 прим. 4 розд. XX «Перехідні положення» ПКУ;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щодо об’єктів декларування, визначених підпунктами «б» – «е» п. 4 підрозд. 9 прим. 4 розд. XX «Перехідні положення» ПКУ, що знаходяться (зареєстровані) за кордоном, крім тих, які оподатковуються за ставкою, визначеною п.п. 8.3 п.</w:t>
                      </w:r>
                      <w:r w:rsidRPr="00607F8F">
                        <w:rPr>
                          <w:rFonts w:ascii="Arial" w:hAnsi="Arial" w:cs="Arial"/>
                          <w:sz w:val="30"/>
                          <w:szCs w:val="30"/>
                        </w:rPr>
                        <w:t xml:space="preserve"> </w:t>
                      </w:r>
                      <w:r w:rsidRPr="00607F8F">
                        <w:rPr>
                          <w:rFonts w:ascii="Arial" w:hAnsi="Arial" w:cs="Arial"/>
                          <w:sz w:val="32"/>
                          <w:szCs w:val="32"/>
                        </w:rPr>
                        <w:t xml:space="preserve">8 підрозд. 9 прим. 4 розд. XX «Перехідні положення» ПКУ.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У цілях одноразового (спеціального) добровільного декларування для застосування передбаченої п.п. 8.2 п. 8 підрозд. 9 прим. 4 розд. XX «Перехідні положення» ПКУ ставки збору кошти декларанта в іноземній валюті на дату подання Декларації мають бути розміщені на рахунках у банках та/або інших фінансових установах за кордоном.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Як альтернативу платник податків може обрати ставку 11,5 відс. із сплатою податкового зобов’язання трьома рівними частинами щорічно.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8.3. Ставка 2,5 відс.: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щодо номінальної вартості державних облігацій України з терміном обігу більше ніж 365 днів без права дострокового погашення, придбаних декларантом у період з 01 вересня 2021 року до 31 серпня 2022 року до подання одноразової (спеціальної) добровільної декларації.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Як альтернативу платник податків може обрати ставку 3 відс. із сплатою податкового зобов’язання трьома рівними частинами щорічно.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Водночас, згідно з п. 19 підрозд. 9 прим. 4 розд. XX «Перехідні положення» ПКУ тимчасово з 01</w:t>
                      </w:r>
                      <w:r w:rsidRPr="00607F8F">
                        <w:rPr>
                          <w:rFonts w:ascii="Arial" w:hAnsi="Arial" w:cs="Arial"/>
                          <w:sz w:val="30"/>
                          <w:szCs w:val="30"/>
                        </w:rPr>
                        <w:t xml:space="preserve"> </w:t>
                      </w:r>
                      <w:r w:rsidRPr="00607F8F">
                        <w:rPr>
                          <w:rFonts w:ascii="Arial" w:hAnsi="Arial" w:cs="Arial"/>
                          <w:sz w:val="32"/>
                          <w:szCs w:val="32"/>
                        </w:rPr>
                        <w:t xml:space="preserve">вересня 2021 року по 01 березня 2022 року ставка Збору, визначена п.п. 8.2 п. 8 підрозд. 9 прим. 4 розд. XX «Перехідні положення» ПКУ, застосовується у розмірі 7 відсотків. </w:t>
                      </w:r>
                    </w:p>
                    <w:p w:rsidR="00920F69" w:rsidRPr="00607F8F" w:rsidRDefault="00920F69" w:rsidP="00607F8F">
                      <w:pPr>
                        <w:spacing w:after="0" w:line="240" w:lineRule="auto"/>
                        <w:ind w:firstLine="567"/>
                        <w:jc w:val="both"/>
                        <w:rPr>
                          <w:rFonts w:ascii="Arial" w:hAnsi="Arial" w:cs="Arial"/>
                          <w:sz w:val="32"/>
                          <w:szCs w:val="32"/>
                        </w:rPr>
                      </w:pPr>
                      <w:r w:rsidRPr="00607F8F">
                        <w:rPr>
                          <w:rFonts w:ascii="Arial" w:hAnsi="Arial" w:cs="Arial"/>
                          <w:sz w:val="32"/>
                          <w:szCs w:val="32"/>
                        </w:rPr>
                        <w:t xml:space="preserve">Як альтернативу платник податків може обрати ставку 9,5 відс. із сплатою податкового зобов’язання трьома рівними частинами щорічно. </w:t>
                      </w:r>
                    </w:p>
                    <w:p w:rsidR="00920F69" w:rsidRPr="00607F8F" w:rsidRDefault="00920F69" w:rsidP="00607F8F">
                      <w:pPr>
                        <w:spacing w:after="0" w:line="240" w:lineRule="auto"/>
                        <w:ind w:firstLine="567"/>
                        <w:rPr>
                          <w:rFonts w:ascii="Arial" w:hAnsi="Arial" w:cs="Arial"/>
                          <w:sz w:val="32"/>
                          <w:szCs w:val="32"/>
                        </w:rPr>
                      </w:pPr>
                    </w:p>
                    <w:p w:rsidR="00920F69" w:rsidRPr="00607F8F" w:rsidRDefault="00920F69" w:rsidP="00607F8F">
                      <w:pPr>
                        <w:pStyle w:val="NormalWeb"/>
                        <w:spacing w:before="0" w:beforeAutospacing="0" w:after="0" w:afterAutospacing="0"/>
                        <w:ind w:firstLine="567"/>
                        <w:jc w:val="both"/>
                        <w:rPr>
                          <w:rFonts w:ascii="Arial" w:hAnsi="Arial" w:cs="Arial"/>
                          <w:sz w:val="30"/>
                          <w:szCs w:val="30"/>
                        </w:rPr>
                      </w:pPr>
                    </w:p>
                    <w:p w:rsidR="00920F69" w:rsidRPr="00607F8F" w:rsidRDefault="00920F69" w:rsidP="00607F8F">
                      <w:pPr>
                        <w:spacing w:after="0"/>
                        <w:ind w:firstLine="567"/>
                        <w:rPr>
                          <w:rFonts w:ascii="Arial" w:hAnsi="Arial" w:cs="Arial"/>
                          <w:sz w:val="30"/>
                          <w:szCs w:val="30"/>
                        </w:rPr>
                      </w:pPr>
                    </w:p>
                    <w:p w:rsidR="00920F69" w:rsidRPr="00607F8F" w:rsidRDefault="00920F69" w:rsidP="008B052B">
                      <w:pPr>
                        <w:spacing w:after="0"/>
                        <w:ind w:firstLine="567"/>
                        <w:rPr>
                          <w:sz w:val="30"/>
                          <w:szCs w:val="30"/>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920F69" w:rsidRPr="00EE0AF6" w:rsidRDefault="00920F69"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920F69" w:rsidRPr="00CA1C7A" w:rsidRDefault="00920F69"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6"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6" o:title="" cropright="33324f" chromakey="#010101"/>
            <w10:wrap type="square"/>
          </v:shape>
        </w:pict>
      </w:r>
    </w:p>
    <w:p w:rsidR="00920F69" w:rsidRPr="00413F2C" w:rsidRDefault="00920F69" w:rsidP="005B38A6">
      <w:pPr>
        <w:tabs>
          <w:tab w:val="left" w:pos="8680"/>
        </w:tabs>
        <w:rPr>
          <w:lang w:val="ru-RU"/>
        </w:rPr>
      </w:pPr>
    </w:p>
    <w:p w:rsidR="00920F69" w:rsidRPr="00413F2C" w:rsidRDefault="00920F69" w:rsidP="005B38A6">
      <w:pPr>
        <w:tabs>
          <w:tab w:val="left" w:pos="8680"/>
        </w:tabs>
        <w:rPr>
          <w:lang w:val="ru-RU"/>
        </w:rPr>
      </w:pPr>
    </w:p>
    <w:p w:rsidR="00920F69" w:rsidRPr="00413F2C" w:rsidRDefault="00920F69" w:rsidP="005B38A6">
      <w:pPr>
        <w:tabs>
          <w:tab w:val="left" w:pos="8680"/>
        </w:tabs>
        <w:rPr>
          <w:lang w:val="ru-RU"/>
        </w:rPr>
      </w:pPr>
    </w:p>
    <w:p w:rsidR="00920F69" w:rsidRPr="00413F2C" w:rsidRDefault="00920F69" w:rsidP="005B38A6">
      <w:pPr>
        <w:tabs>
          <w:tab w:val="left" w:pos="8680"/>
        </w:tabs>
        <w:rPr>
          <w:lang w:val="ru-RU"/>
        </w:rPr>
      </w:pPr>
    </w:p>
    <w:p w:rsidR="00920F69" w:rsidRDefault="00920F69" w:rsidP="005B38A6">
      <w:pPr>
        <w:tabs>
          <w:tab w:val="left" w:pos="8680"/>
        </w:tabs>
      </w:pPr>
      <w:r>
        <w:tab/>
      </w:r>
    </w:p>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6"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6"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920F69" w:rsidRPr="00A80352" w:rsidRDefault="00920F69" w:rsidP="00A80352"/>
              </w:txbxContent>
            </v:textbox>
            <w10:anchorlock/>
          </v:shape>
        </w:pict>
      </w:r>
    </w:p>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Default="00920F69"/>
    <w:p w:rsidR="00920F69" w:rsidRPr="0088080D" w:rsidRDefault="00920F69"/>
    <w:p w:rsidR="00920F69" w:rsidRDefault="00920F69"/>
    <w:p w:rsidR="00920F69" w:rsidRDefault="00920F69"/>
    <w:p w:rsidR="00920F69" w:rsidRDefault="00920F69"/>
    <w:p w:rsidR="00920F69" w:rsidRDefault="00920F69"/>
    <w:p w:rsidR="00920F69" w:rsidRDefault="00920F69">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920F69" w:rsidRPr="00EE0AF6" w:rsidRDefault="00920F69"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920F69" w:rsidRPr="00CA1C7A" w:rsidRDefault="00920F69" w:rsidP="005B2E53">
                        <w:pPr>
                          <w:jc w:val="center"/>
                          <w:rPr>
                            <w:b/>
                            <w:bCs/>
                            <w:color w:val="BFBFBF"/>
                          </w:rPr>
                        </w:pPr>
                        <w:r>
                          <w:rPr>
                            <w:b/>
                            <w:bCs/>
                            <w:color w:val="BFBFBF"/>
                          </w:rPr>
                          <w:t>5</w:t>
                        </w:r>
                      </w:p>
                    </w:txbxContent>
                  </v:textbox>
                </v:shape>
              </v:group>
            </v:group>
            <w10:anchorlock/>
          </v:group>
        </w:pict>
      </w:r>
    </w:p>
    <w:p w:rsidR="00920F69" w:rsidRPr="0088080D" w:rsidRDefault="00920F69"/>
    <w:p w:rsidR="00920F69" w:rsidRPr="0088080D" w:rsidRDefault="00920F69">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6"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6" o:title="" cropright="33324f" chromakey="#010101"/>
            <w10:wrap type="square"/>
            <w10:anchorlock/>
          </v:shape>
        </w:pict>
      </w:r>
      <w:r>
        <w:rPr>
          <w:noProof/>
          <w:lang w:val="ru-RU" w:eastAsia="ru-RU"/>
        </w:rPr>
        <w:pict>
          <v:group id="Группа 144" o:spid="_x0000_s1067" style="position:absolute;margin-left:-9pt;margin-top:-9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920F69" w:rsidRPr="00CA1C7A" w:rsidRDefault="00920F69"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920F69" w:rsidRPr="0087316D" w:rsidRDefault="00920F69" w:rsidP="005B2E53">
                        <w:pPr>
                          <w:jc w:val="center"/>
                          <w:rPr>
                            <w:b/>
                            <w:bCs/>
                            <w:color w:val="BFBFBF"/>
                          </w:rPr>
                        </w:pPr>
                        <w:r>
                          <w:rPr>
                            <w:b/>
                            <w:bCs/>
                            <w:color w:val="BFBFBF"/>
                          </w:rPr>
                          <w:t>3</w:t>
                        </w:r>
                      </w:p>
                    </w:txbxContent>
                  </v:textbox>
                </v:shape>
              </v:group>
            </v:group>
            <w10:anchorlock/>
          </v:group>
        </w:pict>
      </w:r>
    </w:p>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p w:rsidR="00920F69" w:rsidRPr="0088080D" w:rsidRDefault="00920F69"/>
    <w:sectPr w:rsidR="00920F69"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Arial">
    <w:panose1 w:val="020B0604020202020204"/>
    <w:charset w:val="CC"/>
    <w:family w:val="swiss"/>
    <w:pitch w:val="variable"/>
    <w:sig w:usb0="20002A87" w:usb1="80000000" w:usb2="00000008" w:usb3="00000000" w:csb0="000001FF"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55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05D77"/>
    <w:rsid w:val="00A108D2"/>
    <w:rsid w:val="00A14E8F"/>
    <w:rsid w:val="00A2261B"/>
    <w:rsid w:val="00A23170"/>
    <w:rsid w:val="00A25956"/>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0">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1">
    <w:name w:val="Нормальний текст"/>
    <w:basedOn w:val="Normal"/>
    <w:link w:val="a2"/>
    <w:uiPriority w:val="99"/>
    <w:rsid w:val="0049392D"/>
    <w:pPr>
      <w:spacing w:before="120" w:after="0" w:line="240" w:lineRule="auto"/>
      <w:ind w:firstLine="567"/>
      <w:jc w:val="both"/>
    </w:pPr>
    <w:rPr>
      <w:rFonts w:ascii="Antiqua" w:hAnsi="Antiqua" w:cs="Antiqua"/>
      <w:lang w:val="ru-RU" w:eastAsia="ru-RU"/>
    </w:rPr>
  </w:style>
  <w:style w:type="character" w:customStyle="1" w:styleId="a2">
    <w:name w:val="Нормальний текст Знак"/>
    <w:link w:val="a1"/>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3">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5">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6">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 w:type="character" w:styleId="Emphasis">
    <w:name w:val="Emphasis"/>
    <w:basedOn w:val="DefaultParagraphFont"/>
    <w:uiPriority w:val="99"/>
    <w:qFormat/>
    <w:locked/>
    <w:rsid w:val="00934815"/>
    <w:rPr>
      <w:i/>
      <w:iCs/>
    </w:rPr>
  </w:style>
  <w:style w:type="paragraph" w:customStyle="1" w:styleId="a7">
    <w:name w:val="Знак"/>
    <w:basedOn w:val="Normal"/>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346098344">
      <w:marLeft w:val="0"/>
      <w:marRight w:val="0"/>
      <w:marTop w:val="0"/>
      <w:marBottom w:val="0"/>
      <w:divBdr>
        <w:top w:val="none" w:sz="0" w:space="0" w:color="auto"/>
        <w:left w:val="none" w:sz="0" w:space="0" w:color="auto"/>
        <w:bottom w:val="none" w:sz="0" w:space="0" w:color="auto"/>
        <w:right w:val="none" w:sz="0" w:space="0" w:color="auto"/>
      </w:divBdr>
    </w:div>
    <w:div w:id="346098345">
      <w:marLeft w:val="0"/>
      <w:marRight w:val="0"/>
      <w:marTop w:val="0"/>
      <w:marBottom w:val="0"/>
      <w:divBdr>
        <w:top w:val="none" w:sz="0" w:space="0" w:color="auto"/>
        <w:left w:val="none" w:sz="0" w:space="0" w:color="auto"/>
        <w:bottom w:val="none" w:sz="0" w:space="0" w:color="auto"/>
        <w:right w:val="none" w:sz="0" w:space="0" w:color="auto"/>
      </w:divBdr>
    </w:div>
    <w:div w:id="346098346">
      <w:marLeft w:val="0"/>
      <w:marRight w:val="0"/>
      <w:marTop w:val="0"/>
      <w:marBottom w:val="0"/>
      <w:divBdr>
        <w:top w:val="none" w:sz="0" w:space="0" w:color="auto"/>
        <w:left w:val="none" w:sz="0" w:space="0" w:color="auto"/>
        <w:bottom w:val="none" w:sz="0" w:space="0" w:color="auto"/>
        <w:right w:val="none" w:sz="0" w:space="0" w:color="auto"/>
      </w:divBdr>
    </w:div>
    <w:div w:id="346098347">
      <w:marLeft w:val="0"/>
      <w:marRight w:val="0"/>
      <w:marTop w:val="0"/>
      <w:marBottom w:val="0"/>
      <w:divBdr>
        <w:top w:val="none" w:sz="0" w:space="0" w:color="auto"/>
        <w:left w:val="none" w:sz="0" w:space="0" w:color="auto"/>
        <w:bottom w:val="none" w:sz="0" w:space="0" w:color="auto"/>
        <w:right w:val="none" w:sz="0" w:space="0" w:color="auto"/>
      </w:divBdr>
    </w:div>
    <w:div w:id="346098348">
      <w:marLeft w:val="0"/>
      <w:marRight w:val="0"/>
      <w:marTop w:val="0"/>
      <w:marBottom w:val="0"/>
      <w:divBdr>
        <w:top w:val="none" w:sz="0" w:space="0" w:color="auto"/>
        <w:left w:val="none" w:sz="0" w:space="0" w:color="auto"/>
        <w:bottom w:val="none" w:sz="0" w:space="0" w:color="auto"/>
        <w:right w:val="none" w:sz="0" w:space="0" w:color="auto"/>
      </w:divBdr>
    </w:div>
    <w:div w:id="346098349">
      <w:marLeft w:val="0"/>
      <w:marRight w:val="0"/>
      <w:marTop w:val="0"/>
      <w:marBottom w:val="0"/>
      <w:divBdr>
        <w:top w:val="none" w:sz="0" w:space="0" w:color="auto"/>
        <w:left w:val="none" w:sz="0" w:space="0" w:color="auto"/>
        <w:bottom w:val="none" w:sz="0" w:space="0" w:color="auto"/>
        <w:right w:val="none" w:sz="0" w:space="0" w:color="auto"/>
      </w:divBdr>
    </w:div>
    <w:div w:id="346098350">
      <w:marLeft w:val="0"/>
      <w:marRight w:val="0"/>
      <w:marTop w:val="0"/>
      <w:marBottom w:val="0"/>
      <w:divBdr>
        <w:top w:val="none" w:sz="0" w:space="0" w:color="auto"/>
        <w:left w:val="none" w:sz="0" w:space="0" w:color="auto"/>
        <w:bottom w:val="none" w:sz="0" w:space="0" w:color="auto"/>
        <w:right w:val="none" w:sz="0" w:space="0" w:color="auto"/>
      </w:divBdr>
    </w:div>
    <w:div w:id="346098351">
      <w:marLeft w:val="0"/>
      <w:marRight w:val="0"/>
      <w:marTop w:val="0"/>
      <w:marBottom w:val="0"/>
      <w:divBdr>
        <w:top w:val="none" w:sz="0" w:space="0" w:color="auto"/>
        <w:left w:val="none" w:sz="0" w:space="0" w:color="auto"/>
        <w:bottom w:val="none" w:sz="0" w:space="0" w:color="auto"/>
        <w:right w:val="none" w:sz="0" w:space="0" w:color="auto"/>
      </w:divBdr>
    </w:div>
    <w:div w:id="346098352">
      <w:marLeft w:val="0"/>
      <w:marRight w:val="0"/>
      <w:marTop w:val="0"/>
      <w:marBottom w:val="0"/>
      <w:divBdr>
        <w:top w:val="none" w:sz="0" w:space="0" w:color="auto"/>
        <w:left w:val="none" w:sz="0" w:space="0" w:color="auto"/>
        <w:bottom w:val="none" w:sz="0" w:space="0" w:color="auto"/>
        <w:right w:val="none" w:sz="0" w:space="0" w:color="auto"/>
      </w:divBdr>
    </w:div>
    <w:div w:id="346098353">
      <w:marLeft w:val="0"/>
      <w:marRight w:val="0"/>
      <w:marTop w:val="0"/>
      <w:marBottom w:val="0"/>
      <w:divBdr>
        <w:top w:val="none" w:sz="0" w:space="0" w:color="auto"/>
        <w:left w:val="none" w:sz="0" w:space="0" w:color="auto"/>
        <w:bottom w:val="none" w:sz="0" w:space="0" w:color="auto"/>
        <w:right w:val="none" w:sz="0" w:space="0" w:color="auto"/>
      </w:divBdr>
    </w:div>
    <w:div w:id="346098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4</Pages>
  <Words>14</Words>
  <Characters>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27</cp:revision>
  <cp:lastPrinted>2021-08-13T12:28:00Z</cp:lastPrinted>
  <dcterms:created xsi:type="dcterms:W3CDTF">2021-10-18T07:06:00Z</dcterms:created>
  <dcterms:modified xsi:type="dcterms:W3CDTF">2021-12-24T08:53:00Z</dcterms:modified>
</cp:coreProperties>
</file>