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37" w:rsidRDefault="007A5E37">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7A5E37" w:rsidRDefault="007A5E37"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7A5E37" w:rsidRDefault="007A5E37"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7A5E37" w:rsidRPr="00B31800" w:rsidRDefault="007A5E37" w:rsidP="00413F2C">
                  <w:pPr>
                    <w:spacing w:after="0" w:line="240" w:lineRule="auto"/>
                    <w:rPr>
                      <w:rFonts w:ascii="e-Ukraine" w:hAnsi="e-Ukraine" w:cs="e-Ukraine"/>
                      <w:sz w:val="16"/>
                      <w:szCs w:val="16"/>
                    </w:rPr>
                  </w:pPr>
                </w:p>
                <w:p w:rsidR="007A5E37" w:rsidRPr="006C0696" w:rsidRDefault="007A5E37" w:rsidP="00413F2C">
                  <w:pPr>
                    <w:spacing w:after="0" w:line="240" w:lineRule="auto"/>
                    <w:rPr>
                      <w:rFonts w:ascii="e-Ukraine" w:hAnsi="e-Ukraine" w:cs="e-Ukraine"/>
                      <w:sz w:val="6"/>
                      <w:szCs w:val="6"/>
                    </w:rPr>
                  </w:pPr>
                </w:p>
                <w:p w:rsidR="007A5E37" w:rsidRPr="006C0696" w:rsidRDefault="007A5E37"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7A5E37" w:rsidRPr="006C0696" w:rsidRDefault="007A5E37"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7A5E37" w:rsidRPr="00B503AC" w:rsidRDefault="007A5E37" w:rsidP="00B503AC">
                  <w:pPr>
                    <w:pStyle w:val="Heading1"/>
                    <w:rPr>
                      <w:rFonts w:ascii="e-Ukraine Bold" w:hAnsi="e-Ukraine Bold" w:cs="e-Ukraine Bold"/>
                      <w:sz w:val="34"/>
                      <w:szCs w:val="34"/>
                    </w:rPr>
                  </w:pPr>
                  <w:r w:rsidRPr="00B503AC">
                    <w:rPr>
                      <w:rFonts w:ascii="e-Ukraine Bold" w:hAnsi="e-Ukraine Bold" w:cs="e-Ukraine Bold"/>
                      <w:sz w:val="34"/>
                      <w:szCs w:val="34"/>
                    </w:rPr>
                    <w:t>Передбачена відповідальність за невірно запрограмований код товарної підкатегорії згідно з УКТ ЗЕД в РРО та/або ПРРО</w:t>
                  </w:r>
                </w:p>
                <w:p w:rsidR="007A5E37" w:rsidRPr="00B503AC" w:rsidRDefault="007A5E37" w:rsidP="00891895">
                  <w:pPr>
                    <w:rPr>
                      <w:rFonts w:ascii="e-Ukraine Bold" w:hAnsi="e-Ukraine Bold" w:cs="e-Ukraine Bold"/>
                      <w:sz w:val="34"/>
                      <w:szCs w:val="34"/>
                    </w:rPr>
                  </w:pPr>
                </w:p>
                <w:p w:rsidR="007A5E37" w:rsidRDefault="007A5E37" w:rsidP="00891895"/>
              </w:txbxContent>
            </v:textbox>
            <w10:wrap anchorx="margin"/>
          </v:shape>
        </w:pict>
      </w:r>
    </w:p>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7A5E37" w:rsidRPr="00413F2C" w:rsidRDefault="007A5E37" w:rsidP="00DD030F">
                  <w:pPr>
                    <w:rPr>
                      <w:rFonts w:ascii="e-Ukraine Bold" w:hAnsi="e-Ukraine Bold" w:cs="e-Ukraine Bold"/>
                      <w:b/>
                      <w:bCs/>
                      <w:i/>
                      <w:iCs/>
                      <w:sz w:val="28"/>
                      <w:szCs w:val="28"/>
                    </w:rPr>
                  </w:pPr>
                  <w:r>
                    <w:rPr>
                      <w:rFonts w:ascii="e-Ukraine Bold" w:hAnsi="e-Ukraine Bold" w:cs="e-Ukraine Bold"/>
                      <w:b/>
                      <w:bCs/>
                      <w:i/>
                      <w:iCs/>
                      <w:sz w:val="28"/>
                      <w:szCs w:val="28"/>
                      <w:lang w:val="ru-RU"/>
                    </w:rPr>
                    <w:t>листопад</w:t>
                  </w:r>
                  <w:r w:rsidRPr="00413F2C">
                    <w:rPr>
                      <w:rFonts w:ascii="e-Ukraine Bold" w:hAnsi="e-Ukraine Bold" w:cs="e-Ukraine Bold"/>
                      <w:b/>
                      <w:bCs/>
                      <w:i/>
                      <w:iCs/>
                      <w:sz w:val="28"/>
                      <w:szCs w:val="28"/>
                    </w:rPr>
                    <w:t xml:space="preserve"> 2021 року</w:t>
                  </w:r>
                </w:p>
                <w:p w:rsidR="007A5E37" w:rsidRPr="00E17569" w:rsidRDefault="007A5E37" w:rsidP="00E17569"/>
              </w:txbxContent>
            </v:textbox>
          </v:shape>
        </w:pict>
      </w:r>
    </w:p>
    <w:p w:rsidR="007A5E37" w:rsidRDefault="007A5E37">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7A5E37" w:rsidRPr="00B503AC" w:rsidRDefault="007A5E37" w:rsidP="00B503AC">
                      <w:pPr>
                        <w:ind w:firstLine="567"/>
                        <w:jc w:val="both"/>
                        <w:rPr>
                          <w:rFonts w:ascii="e-Ukraine" w:hAnsi="e-Ukraine" w:cs="e-Ukraine"/>
                          <w:sz w:val="30"/>
                          <w:szCs w:val="30"/>
                        </w:rPr>
                      </w:pPr>
                      <w:r w:rsidRPr="00B503AC">
                        <w:rPr>
                          <w:rFonts w:ascii="e-Ukraine" w:hAnsi="e-Ukraine" w:cs="e-Ukraine"/>
                          <w:sz w:val="30"/>
                          <w:szCs w:val="30"/>
                        </w:rPr>
                        <w:t xml:space="preserve">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Амур-Нижньодніпровський,  Індустріальний, та Самарський райони м. Дніпра) доводить до відома, що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зобов’язані, зокрема, надавати особі, яка отримує або повертає товар, включаючи ті, замовлення або оплата яких здійснюється з використанням мережі Інтернет, при отриманні товарів (послуг) в обов’язковому порядку розрахунковий документ встановленої форми та змісту на повну суму проведеної операції, створений в паперовій та/або електронній формі (у тому числі, але не виключно, з відтворюванням на дисплеї реєстратора розрахункових операцій (далі – РРО) чи дисплеї пристрою, на якому встановлений програмний РРО (далі – ПРРО) QR-коду, який дозволяє особі здійснювати його зчитування та ідентифікацію із розрахунковим документом за структурою даних, що в ньому міститься, та/або надсиланням електронного розрахункового документа на наданий такою особою абонентський номер або адресу електронної пошти).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Норми встановлені п. 2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w:t>
                      </w:r>
                      <w:r w:rsidRPr="00B503AC">
                        <w:rPr>
                          <w:sz w:val="30"/>
                          <w:szCs w:val="30"/>
                        </w:rPr>
                        <w:t> </w:t>
                      </w:r>
                      <w:r w:rsidRPr="00B503AC">
                        <w:rPr>
                          <w:rFonts w:ascii="e-Ukraine" w:hAnsi="e-Ukraine" w:cs="e-Ukraine"/>
                          <w:sz w:val="30"/>
                          <w:szCs w:val="30"/>
                        </w:rPr>
                        <w:t xml:space="preserve">265).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Пунктом 11 ст. 3 Закону № 265 визначено, що суб’єкти господарювання, які здійснюють розрахункові операції в готівковій та/або в безготівковій формі зобов’язані проводити розрахункові операції через РРО та/або через ПРРО для підакцизних товарів із використанням режиму програмування із зазначенням коду товарної підкатегорії згідно з Українським класифікатором товарів зовнішньоекономічної діяльності (далі – УКТ ЗЕД), найменування</w:t>
                      </w:r>
                      <w:r>
                        <w:t xml:space="preserve"> </w:t>
                      </w:r>
                      <w:r w:rsidRPr="00B503AC">
                        <w:rPr>
                          <w:rFonts w:ascii="e-Ukraine" w:hAnsi="e-Ukraine" w:cs="e-Ukraine"/>
                          <w:sz w:val="30"/>
                          <w:szCs w:val="30"/>
                        </w:rPr>
                        <w:t xml:space="preserve">товарів, цін товарів та обліку їх кількості.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 xml:space="preserve">Форму та зміст розрахункового документа визначено Положенням про форму та зміст розрахункових документів/електронних розрахункових документів, яке затверджене наказом Міністерства фінансів України від 21.01.2016 № 13 із змінами та доповненнями, (далі – Положення № 13).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Фіскальний касовий чек на товари (послуги) за формою № ФКЧ-1, наведений у додатку 1 до Положення</w:t>
                      </w:r>
                      <w:r w:rsidRPr="00B503AC">
                        <w:rPr>
                          <w:rFonts w:ascii="e-Ukraine" w:hAnsi="e-Ukraine" w:cs="e-Ukraine"/>
                          <w:sz w:val="30"/>
                          <w:szCs w:val="30"/>
                          <w:lang w:val="ru-RU"/>
                        </w:rPr>
                        <w:t xml:space="preserve">     </w:t>
                      </w:r>
                      <w:r w:rsidRPr="00B503AC">
                        <w:rPr>
                          <w:rFonts w:ascii="e-Ukraine" w:hAnsi="e-Ukraine" w:cs="e-Ukraine"/>
                          <w:sz w:val="30"/>
                          <w:szCs w:val="30"/>
                        </w:rPr>
                        <w:t xml:space="preserve"> № 13, має містити обов’язкові реквізити, зокрема, код товарної підкатегорії згідно з УКТ ЗЕД (зазначається у випадках, передбачених чинним законодавством) (рядок 7 фіскального чека) (п. 2 розд. ІІ Положення № 13).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 xml:space="preserve">Пунктом 7 ст. 17 Закону № 265 визначено, що до суб’єктів господарювання, які здійснюють розрахункові операції за товари (послуги), за рішенням відповідних контролюючих органів застосовуються фінансові санкції у розмірі триста неоподатковуваних мінімумів доходів громадян – у разі проведення розрахункових операцій через РРО та/або ПРРО без використання режиму програмування найменування кожного підакцизного товару із зазначенням коду товарної підкатегорії згідно з УКТ ЗЕД, ціни товару та обліку його кількості.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 xml:space="preserve">Разом з тим, ст. 26 Закону № 265 встановлено, що посадові особи та працівники торгівлі, громадського харчування та сфери послуг притягуються до адміністративної відповідальності контролюючими органами.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Відповідно до ст. 155 прим. 1 Кодексу України про адміністративні правопорушення від 07 грудня 1984 року № 8073-Х із змінами та доповненнями (далі – КУпАП) порушення встановленого законом порядку проведення розрахунків у сфері торгівлі, громадського харчування та послуг, – тягне за собою накладення штрафу на осіб, які здійснюють розрахункові операції, від двох до п’яти неоподатковуваних мінімумів доходів громадян і на посадових</w:t>
                      </w:r>
                      <w:r>
                        <w:t xml:space="preserve"> </w:t>
                      </w:r>
                      <w:r w:rsidRPr="00B503AC">
                        <w:rPr>
                          <w:rFonts w:ascii="e-Ukraine" w:hAnsi="e-Ukraine" w:cs="e-Ukraine"/>
                          <w:sz w:val="30"/>
                          <w:szCs w:val="30"/>
                        </w:rPr>
                        <w:t xml:space="preserve">осіб – від п’яти до десяти неоподатковуваних мінімумів доходів громадян.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 xml:space="preserve">За дії, вчинені особою, яку протягом року було піддано адміністративному стягненню за такі ж порушення, – тягне за собою накладення штрафу на осіб, які здійснюють розрахункові операції,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Fonts w:ascii="e-Ukraine" w:hAnsi="e-Ukraine" w:cs="e-Ukraine"/>
                          <w:sz w:val="30"/>
                          <w:szCs w:val="30"/>
                        </w:rPr>
                        <w:t xml:space="preserve">Враховуючи викладене вище, у разі виявлення під час перевірки суб’єкта господарювання факту реалізації підакцизного товару через РРО та/або з ПРРО за невірно запрограмованим кодом товарної підкатегорії згідно з УКТ ЗЕД, до такого суб’єкта господарювання застосовується фінансова санкція, передбачена п. 7 ст. 17 Закону № 265 – у розмірі триста неоподатковуваних мінімумів доходів громадян, та адміністративна відповідальність передбачена ст. 155 прим. 1 КУпАП.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Style w:val="Emphasis"/>
                          <w:sz w:val="30"/>
                          <w:szCs w:val="30"/>
                        </w:rPr>
                        <w:t> </w:t>
                      </w:r>
                      <w:r w:rsidRPr="00B503AC">
                        <w:rPr>
                          <w:rFonts w:ascii="e-Ukraine" w:hAnsi="e-Ukraine" w:cs="e-Ukraine"/>
                          <w:sz w:val="30"/>
                          <w:szCs w:val="30"/>
                        </w:rPr>
                        <w:t xml:space="preserve">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r w:rsidRPr="00B503AC">
                        <w:rPr>
                          <w:rStyle w:val="Strong"/>
                          <w:rFonts w:ascii="e-Ukraine" w:hAnsi="e-Ukraine" w:cs="e-Ukraine"/>
                          <w:i/>
                          <w:iCs/>
                          <w:sz w:val="30"/>
                          <w:szCs w:val="30"/>
                        </w:rPr>
                        <w:t>Ми в інтернет-просторі, приєднуйтесь!</w:t>
                      </w:r>
                      <w:r w:rsidRPr="00B503AC">
                        <w:rPr>
                          <w:rFonts w:ascii="e-Ukraine" w:hAnsi="e-Ukraine" w:cs="e-Ukraine"/>
                          <w:sz w:val="30"/>
                          <w:szCs w:val="30"/>
                        </w:rPr>
                        <w:t xml:space="preserve">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hyperlink r:id="rId6" w:history="1">
                        <w:r w:rsidRPr="00B503AC">
                          <w:rPr>
                            <w:rStyle w:val="Hyperlink"/>
                            <w:rFonts w:ascii="e-Ukraine" w:hAnsi="e-Ukraine" w:cs="e-Ukraine"/>
                            <w:sz w:val="30"/>
                            <w:szCs w:val="30"/>
                          </w:rPr>
                          <w:t>https://dp.tax.gov.ua/</w:t>
                        </w:r>
                      </w:hyperlink>
                      <w:r w:rsidRPr="00B503AC">
                        <w:rPr>
                          <w:rFonts w:ascii="e-Ukraine" w:hAnsi="e-Ukraine" w:cs="e-Ukraine"/>
                          <w:sz w:val="30"/>
                          <w:szCs w:val="30"/>
                        </w:rPr>
                        <w:t xml:space="preserve">;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hyperlink r:id="rId7" w:history="1">
                        <w:r w:rsidRPr="00B503AC">
                          <w:rPr>
                            <w:rStyle w:val="Hyperlink"/>
                            <w:rFonts w:ascii="e-Ukraine" w:hAnsi="e-Ukraine" w:cs="e-Ukraine"/>
                            <w:sz w:val="30"/>
                            <w:szCs w:val="30"/>
                          </w:rPr>
                          <w:t>https://www.facebook.com/tax.dnipropetrovsk/</w:t>
                        </w:r>
                      </w:hyperlink>
                      <w:r w:rsidRPr="00B503AC">
                        <w:rPr>
                          <w:rFonts w:ascii="e-Ukraine" w:hAnsi="e-Ukraine" w:cs="e-Ukraine"/>
                          <w:sz w:val="30"/>
                          <w:szCs w:val="30"/>
                        </w:rPr>
                        <w:t xml:space="preserve">; </w:t>
                      </w:r>
                    </w:p>
                    <w:p w:rsidR="007A5E37" w:rsidRPr="00B503AC" w:rsidRDefault="007A5E37" w:rsidP="00B503AC">
                      <w:pPr>
                        <w:pStyle w:val="NormalWeb"/>
                        <w:spacing w:before="0" w:beforeAutospacing="0" w:after="0" w:afterAutospacing="0"/>
                        <w:ind w:firstLine="567"/>
                        <w:jc w:val="both"/>
                        <w:rPr>
                          <w:rFonts w:ascii="e-Ukraine" w:hAnsi="e-Ukraine" w:cs="e-Ukraine"/>
                          <w:sz w:val="30"/>
                          <w:szCs w:val="30"/>
                        </w:rPr>
                      </w:pPr>
                      <w:hyperlink r:id="rId8" w:history="1">
                        <w:r w:rsidRPr="00B503AC">
                          <w:rPr>
                            <w:rStyle w:val="Hyperlink"/>
                            <w:rFonts w:ascii="e-Ukraine" w:hAnsi="e-Ukraine" w:cs="e-Ukraine"/>
                            <w:sz w:val="30"/>
                            <w:szCs w:val="30"/>
                          </w:rPr>
                          <w:t>https://www.youtube.com/channel/UCIxijADr1NbFo5dhZ3mQwVA</w:t>
                        </w:r>
                      </w:hyperlink>
                      <w:r w:rsidRPr="00B503AC">
                        <w:rPr>
                          <w:rFonts w:ascii="e-Ukraine" w:hAnsi="e-Ukraine" w:cs="e-Ukraine"/>
                          <w:sz w:val="30"/>
                          <w:szCs w:val="30"/>
                        </w:rPr>
                        <w:t xml:space="preserve"> </w:t>
                      </w:r>
                    </w:p>
                    <w:p w:rsidR="007A5E37" w:rsidRDefault="007A5E37" w:rsidP="00B503AC">
                      <w:pPr>
                        <w:pStyle w:val="NormalWeb"/>
                        <w:spacing w:before="0" w:beforeAutospacing="0" w:after="0" w:afterAutospacing="0"/>
                        <w:ind w:firstLine="567"/>
                        <w:jc w:val="both"/>
                      </w:pPr>
                      <w:r>
                        <w:t xml:space="preserve">  </w:t>
                      </w:r>
                    </w:p>
                    <w:p w:rsidR="007A5E37" w:rsidRDefault="007A5E37" w:rsidP="00B503AC">
                      <w:pPr>
                        <w:ind w:firstLine="567"/>
                        <w:jc w:val="both"/>
                      </w:pPr>
                    </w:p>
                    <w:p w:rsidR="007A5E37" w:rsidRPr="00770462" w:rsidRDefault="007A5E37" w:rsidP="00770462"/>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7A5E37" w:rsidRPr="00EE0AF6" w:rsidRDefault="007A5E37"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7A5E37" w:rsidRPr="00CA1C7A" w:rsidRDefault="007A5E37"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9"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9" o:title="" cropright="33324f" chromakey="#010101"/>
            <w10:wrap type="square"/>
          </v:shape>
        </w:pict>
      </w:r>
    </w:p>
    <w:p w:rsidR="007A5E37" w:rsidRPr="00413F2C" w:rsidRDefault="007A5E37" w:rsidP="005B38A6">
      <w:pPr>
        <w:tabs>
          <w:tab w:val="left" w:pos="8680"/>
        </w:tabs>
        <w:rPr>
          <w:lang w:val="ru-RU"/>
        </w:rPr>
      </w:pPr>
    </w:p>
    <w:p w:rsidR="007A5E37" w:rsidRPr="00413F2C" w:rsidRDefault="007A5E37" w:rsidP="005B38A6">
      <w:pPr>
        <w:tabs>
          <w:tab w:val="left" w:pos="8680"/>
        </w:tabs>
        <w:rPr>
          <w:lang w:val="ru-RU"/>
        </w:rPr>
      </w:pPr>
    </w:p>
    <w:p w:rsidR="007A5E37" w:rsidRPr="00413F2C" w:rsidRDefault="007A5E37" w:rsidP="005B38A6">
      <w:pPr>
        <w:tabs>
          <w:tab w:val="left" w:pos="8680"/>
        </w:tabs>
        <w:rPr>
          <w:lang w:val="ru-RU"/>
        </w:rPr>
      </w:pPr>
    </w:p>
    <w:p w:rsidR="007A5E37" w:rsidRPr="00413F2C" w:rsidRDefault="007A5E37" w:rsidP="005B38A6">
      <w:pPr>
        <w:tabs>
          <w:tab w:val="left" w:pos="8680"/>
        </w:tabs>
        <w:rPr>
          <w:lang w:val="ru-RU"/>
        </w:rPr>
      </w:pPr>
    </w:p>
    <w:p w:rsidR="007A5E37" w:rsidRDefault="007A5E37" w:rsidP="005B38A6">
      <w:pPr>
        <w:tabs>
          <w:tab w:val="left" w:pos="8680"/>
        </w:tabs>
      </w:pPr>
      <w:r>
        <w:tab/>
      </w:r>
    </w:p>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9"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9"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7A5E37" w:rsidRPr="00CA499A" w:rsidRDefault="007A5E37" w:rsidP="00CA499A"/>
              </w:txbxContent>
            </v:textbox>
            <w10:anchorlock/>
          </v:shape>
        </w:pict>
      </w:r>
    </w:p>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Default="007A5E37"/>
    <w:p w:rsidR="007A5E37" w:rsidRPr="0088080D" w:rsidRDefault="007A5E37"/>
    <w:p w:rsidR="007A5E37" w:rsidRDefault="007A5E37"/>
    <w:p w:rsidR="007A5E37" w:rsidRDefault="007A5E37"/>
    <w:p w:rsidR="007A5E37" w:rsidRDefault="007A5E37"/>
    <w:p w:rsidR="007A5E37" w:rsidRDefault="007A5E37"/>
    <w:p w:rsidR="007A5E37" w:rsidRDefault="007A5E37">
      <w:r>
        <w:rPr>
          <w:noProof/>
          <w:lang w:val="ru-RU" w:eastAsia="ru-RU"/>
        </w:rPr>
        <w:pict>
          <v:group id="Группа 93" o:spid="_x0000_s1050" style="position:absolute;margin-left:-18pt;margin-top:-492.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7A5E37" w:rsidRPr="00EE0AF6" w:rsidRDefault="007A5E37"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7A5E37" w:rsidRPr="00CA1C7A" w:rsidRDefault="007A5E37" w:rsidP="005B2E53">
                        <w:pPr>
                          <w:jc w:val="center"/>
                          <w:rPr>
                            <w:b/>
                            <w:bCs/>
                            <w:color w:val="BFBFBF"/>
                          </w:rPr>
                        </w:pPr>
                        <w:r>
                          <w:rPr>
                            <w:b/>
                            <w:bCs/>
                            <w:color w:val="BFBFBF"/>
                          </w:rPr>
                          <w:t>5</w:t>
                        </w:r>
                      </w:p>
                    </w:txbxContent>
                  </v:textbox>
                </v:shape>
              </v:group>
            </v:group>
            <w10:anchorlock/>
          </v:group>
        </w:pict>
      </w:r>
    </w:p>
    <w:p w:rsidR="007A5E37" w:rsidRPr="0088080D" w:rsidRDefault="007A5E37"/>
    <w:p w:rsidR="007A5E37" w:rsidRPr="0088080D" w:rsidRDefault="007A5E37">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9"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9" o:title="" cropright="33324f" chromakey="#010101"/>
            <w10:wrap type="square"/>
            <w10:anchorlock/>
          </v:shape>
        </w:pict>
      </w:r>
      <w:r>
        <w:rPr>
          <w:noProof/>
          <w:lang w:val="ru-RU" w:eastAsia="ru-RU"/>
        </w:rPr>
        <w:pict>
          <v:group id="Группа 144" o:spid="_x0000_s1067" style="position:absolute;margin-left:-9pt;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7A5E37" w:rsidRPr="00CA1C7A" w:rsidRDefault="007A5E37"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7A5E37" w:rsidRPr="0087316D" w:rsidRDefault="007A5E37" w:rsidP="005B2E53">
                        <w:pPr>
                          <w:jc w:val="center"/>
                          <w:rPr>
                            <w:b/>
                            <w:bCs/>
                            <w:color w:val="BFBFBF"/>
                          </w:rPr>
                        </w:pPr>
                        <w:r>
                          <w:rPr>
                            <w:b/>
                            <w:bCs/>
                            <w:color w:val="BFBFBF"/>
                          </w:rPr>
                          <w:t>3</w:t>
                        </w:r>
                      </w:p>
                    </w:txbxContent>
                  </v:textbox>
                </v:shape>
              </v:group>
            </v:group>
            <w10:anchorlock/>
          </v:group>
        </w:pict>
      </w:r>
    </w:p>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p w:rsidR="007A5E37" w:rsidRPr="0088080D" w:rsidRDefault="007A5E37"/>
    <w:sectPr w:rsidR="007A5E37"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0BC0"/>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8B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5E3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2DF3"/>
    <w:rsid w:val="008D2359"/>
    <w:rsid w:val="008D3770"/>
    <w:rsid w:val="008D4AAE"/>
    <w:rsid w:val="008E0540"/>
    <w:rsid w:val="008E08E0"/>
    <w:rsid w:val="008E43E1"/>
    <w:rsid w:val="008E64A0"/>
    <w:rsid w:val="008E6BD5"/>
    <w:rsid w:val="008E79B0"/>
    <w:rsid w:val="008F01AD"/>
    <w:rsid w:val="008F31DA"/>
    <w:rsid w:val="00906047"/>
    <w:rsid w:val="00907A4B"/>
    <w:rsid w:val="009104B6"/>
    <w:rsid w:val="00912FC2"/>
    <w:rsid w:val="009150FC"/>
    <w:rsid w:val="009218D8"/>
    <w:rsid w:val="00921C3A"/>
    <w:rsid w:val="00931BCA"/>
    <w:rsid w:val="009323FD"/>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1800"/>
    <w:rsid w:val="00B32E35"/>
    <w:rsid w:val="00B33521"/>
    <w:rsid w:val="00B503AC"/>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0">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1">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2">
    <w:name w:val="Нормальний текст"/>
    <w:basedOn w:val="Normal"/>
    <w:link w:val="a3"/>
    <w:uiPriority w:val="99"/>
    <w:rsid w:val="0049392D"/>
    <w:pPr>
      <w:spacing w:before="120" w:after="0" w:line="240" w:lineRule="auto"/>
      <w:ind w:firstLine="567"/>
      <w:jc w:val="both"/>
    </w:pPr>
    <w:rPr>
      <w:rFonts w:ascii="Antiqua" w:hAnsi="Antiqua" w:cs="Antiqua"/>
      <w:lang w:val="ru-RU" w:eastAsia="ru-RU"/>
    </w:rPr>
  </w:style>
  <w:style w:type="character" w:customStyle="1" w:styleId="a3">
    <w:name w:val="Нормальний текст Знак"/>
    <w:link w:val="a2"/>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4">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5">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6">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7">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 w:type="character" w:styleId="Emphasis">
    <w:name w:val="Emphasis"/>
    <w:basedOn w:val="DefaultParagraphFont"/>
    <w:uiPriority w:val="99"/>
    <w:qFormat/>
    <w:locked/>
    <w:rsid w:val="00B503AC"/>
    <w:rPr>
      <w:i/>
      <w:iCs/>
    </w:rPr>
  </w:style>
  <w:style w:type="paragraph" w:customStyle="1" w:styleId="a">
    <w:name w:val="Знак"/>
    <w:basedOn w:val="Normal"/>
    <w:link w:val="DefaultParagraphFont"/>
    <w:uiPriority w:val="99"/>
    <w:rsid w:val="00B503AC"/>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57712111">
      <w:marLeft w:val="0"/>
      <w:marRight w:val="0"/>
      <w:marTop w:val="0"/>
      <w:marBottom w:val="0"/>
      <w:divBdr>
        <w:top w:val="none" w:sz="0" w:space="0" w:color="auto"/>
        <w:left w:val="none" w:sz="0" w:space="0" w:color="auto"/>
        <w:bottom w:val="none" w:sz="0" w:space="0" w:color="auto"/>
        <w:right w:val="none" w:sz="0" w:space="0" w:color="auto"/>
      </w:divBdr>
    </w:div>
    <w:div w:id="257712112">
      <w:marLeft w:val="0"/>
      <w:marRight w:val="0"/>
      <w:marTop w:val="0"/>
      <w:marBottom w:val="0"/>
      <w:divBdr>
        <w:top w:val="none" w:sz="0" w:space="0" w:color="auto"/>
        <w:left w:val="none" w:sz="0" w:space="0" w:color="auto"/>
        <w:bottom w:val="none" w:sz="0" w:space="0" w:color="auto"/>
        <w:right w:val="none" w:sz="0" w:space="0" w:color="auto"/>
      </w:divBdr>
    </w:div>
    <w:div w:id="257712113">
      <w:marLeft w:val="0"/>
      <w:marRight w:val="0"/>
      <w:marTop w:val="0"/>
      <w:marBottom w:val="0"/>
      <w:divBdr>
        <w:top w:val="none" w:sz="0" w:space="0" w:color="auto"/>
        <w:left w:val="none" w:sz="0" w:space="0" w:color="auto"/>
        <w:bottom w:val="none" w:sz="0" w:space="0" w:color="auto"/>
        <w:right w:val="none" w:sz="0" w:space="0" w:color="auto"/>
      </w:divBdr>
    </w:div>
    <w:div w:id="257712114">
      <w:marLeft w:val="0"/>
      <w:marRight w:val="0"/>
      <w:marTop w:val="0"/>
      <w:marBottom w:val="0"/>
      <w:divBdr>
        <w:top w:val="none" w:sz="0" w:space="0" w:color="auto"/>
        <w:left w:val="none" w:sz="0" w:space="0" w:color="auto"/>
        <w:bottom w:val="none" w:sz="0" w:space="0" w:color="auto"/>
        <w:right w:val="none" w:sz="0" w:space="0" w:color="auto"/>
      </w:divBdr>
    </w:div>
    <w:div w:id="257712115">
      <w:marLeft w:val="0"/>
      <w:marRight w:val="0"/>
      <w:marTop w:val="0"/>
      <w:marBottom w:val="0"/>
      <w:divBdr>
        <w:top w:val="none" w:sz="0" w:space="0" w:color="auto"/>
        <w:left w:val="none" w:sz="0" w:space="0" w:color="auto"/>
        <w:bottom w:val="none" w:sz="0" w:space="0" w:color="auto"/>
        <w:right w:val="none" w:sz="0" w:space="0" w:color="auto"/>
      </w:divBdr>
    </w:div>
    <w:div w:id="257712116">
      <w:marLeft w:val="0"/>
      <w:marRight w:val="0"/>
      <w:marTop w:val="0"/>
      <w:marBottom w:val="0"/>
      <w:divBdr>
        <w:top w:val="none" w:sz="0" w:space="0" w:color="auto"/>
        <w:left w:val="none" w:sz="0" w:space="0" w:color="auto"/>
        <w:bottom w:val="none" w:sz="0" w:space="0" w:color="auto"/>
        <w:right w:val="none" w:sz="0" w:space="0" w:color="auto"/>
      </w:divBdr>
    </w:div>
    <w:div w:id="257712117">
      <w:marLeft w:val="0"/>
      <w:marRight w:val="0"/>
      <w:marTop w:val="0"/>
      <w:marBottom w:val="0"/>
      <w:divBdr>
        <w:top w:val="none" w:sz="0" w:space="0" w:color="auto"/>
        <w:left w:val="none" w:sz="0" w:space="0" w:color="auto"/>
        <w:bottom w:val="none" w:sz="0" w:space="0" w:color="auto"/>
        <w:right w:val="none" w:sz="0" w:space="0" w:color="auto"/>
      </w:divBdr>
    </w:div>
    <w:div w:id="257712118">
      <w:marLeft w:val="0"/>
      <w:marRight w:val="0"/>
      <w:marTop w:val="0"/>
      <w:marBottom w:val="0"/>
      <w:divBdr>
        <w:top w:val="none" w:sz="0" w:space="0" w:color="auto"/>
        <w:left w:val="none" w:sz="0" w:space="0" w:color="auto"/>
        <w:bottom w:val="none" w:sz="0" w:space="0" w:color="auto"/>
        <w:right w:val="none" w:sz="0" w:space="0" w:color="auto"/>
      </w:divBdr>
    </w:div>
    <w:div w:id="257712119">
      <w:marLeft w:val="0"/>
      <w:marRight w:val="0"/>
      <w:marTop w:val="0"/>
      <w:marBottom w:val="0"/>
      <w:divBdr>
        <w:top w:val="none" w:sz="0" w:space="0" w:color="auto"/>
        <w:left w:val="none" w:sz="0" w:space="0" w:color="auto"/>
        <w:bottom w:val="none" w:sz="0" w:space="0" w:color="auto"/>
        <w:right w:val="none" w:sz="0" w:space="0" w:color="auto"/>
      </w:divBdr>
    </w:div>
    <w:div w:id="257712120">
      <w:marLeft w:val="0"/>
      <w:marRight w:val="0"/>
      <w:marTop w:val="0"/>
      <w:marBottom w:val="0"/>
      <w:divBdr>
        <w:top w:val="none" w:sz="0" w:space="0" w:color="auto"/>
        <w:left w:val="none" w:sz="0" w:space="0" w:color="auto"/>
        <w:bottom w:val="none" w:sz="0" w:space="0" w:color="auto"/>
        <w:right w:val="none" w:sz="0" w:space="0" w:color="auto"/>
      </w:divBdr>
    </w:div>
    <w:div w:id="257712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IxijADr1NbFo5dhZ3mQwVA" TargetMode="External"/><Relationship Id="rId3" Type="http://schemas.openxmlformats.org/officeDocument/2006/relationships/settings" Target="settings.xml"/><Relationship Id="rId7" Type="http://schemas.openxmlformats.org/officeDocument/2006/relationships/hyperlink" Target="https://www.facebook.com/tax.dnipropetr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tax.gov.u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14</Words>
  <Characters>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3</cp:revision>
  <cp:lastPrinted>2021-08-13T12:28:00Z</cp:lastPrinted>
  <dcterms:created xsi:type="dcterms:W3CDTF">2021-11-16T08:54:00Z</dcterms:created>
  <dcterms:modified xsi:type="dcterms:W3CDTF">2021-12-06T12:21:00Z</dcterms:modified>
</cp:coreProperties>
</file>