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D9" w:rsidRDefault="00A92639">
      <w:pPr>
        <w:rPr>
          <w:rFonts w:cs="Times New Roman"/>
        </w:rPr>
      </w:pPr>
      <w:r w:rsidRPr="00A92639">
        <w:rPr>
          <w:noProof/>
          <w:lang w:eastAsia="uk-UA"/>
        </w:rPr>
        <w:pict>
          <v:shapetype id="_x0000_t202" coordsize="21600,21600" o:spt="202" path="m,l,21600r21600,l21600,xe">
            <v:stroke joinstyle="miter"/>
            <v:path gradientshapeok="t" o:connecttype="rect"/>
          </v:shapetype>
          <v:shape id="Поле 9" o:spid="_x0000_s1036" type="#_x0000_t202" style="position:absolute;margin-left:507.5pt;margin-top:482.1pt;width:185.3pt;height:19.4pt;z-index:251654656;visibility:visible" filled="f" stroked="f" strokeweight=".5pt">
            <v:textbox style="mso-next-textbox:#Поле 9">
              <w:txbxContent>
                <w:p w:rsidR="003501B0" w:rsidRPr="00413F2C" w:rsidRDefault="00A846EC" w:rsidP="00DD030F">
                  <w:pPr>
                    <w:rPr>
                      <w:rFonts w:ascii="e-Ukraine Bold" w:hAnsi="e-Ukraine Bold"/>
                      <w:b/>
                      <w:i/>
                      <w:iCs/>
                      <w:sz w:val="28"/>
                      <w:szCs w:val="28"/>
                    </w:rPr>
                  </w:pPr>
                  <w:r>
                    <w:rPr>
                      <w:rFonts w:ascii="e-Ukraine Bold" w:hAnsi="e-Ukraine Bold"/>
                      <w:b/>
                      <w:i/>
                      <w:iCs/>
                      <w:sz w:val="28"/>
                      <w:szCs w:val="28"/>
                    </w:rPr>
                    <w:t>14</w:t>
                  </w:r>
                  <w:r w:rsidR="006D1FA3" w:rsidRPr="00413F2C">
                    <w:rPr>
                      <w:rFonts w:ascii="e-Ukraine Bold" w:hAnsi="e-Ukraine Bold"/>
                      <w:b/>
                      <w:i/>
                      <w:iCs/>
                      <w:sz w:val="28"/>
                      <w:szCs w:val="28"/>
                      <w:lang w:val="en-US"/>
                    </w:rPr>
                    <w:t xml:space="preserve"> </w:t>
                  </w:r>
                  <w:r>
                    <w:rPr>
                      <w:rFonts w:ascii="e-Ukraine Bold" w:hAnsi="e-Ukraine Bold"/>
                      <w:b/>
                      <w:i/>
                      <w:iCs/>
                      <w:sz w:val="28"/>
                      <w:szCs w:val="28"/>
                    </w:rPr>
                    <w:t>вересня</w:t>
                  </w:r>
                  <w:r w:rsidR="003501B0" w:rsidRPr="00413F2C">
                    <w:rPr>
                      <w:rFonts w:ascii="e-Ukraine Bold" w:hAnsi="e-Ukraine Bold"/>
                      <w:b/>
                      <w:i/>
                      <w:iCs/>
                      <w:sz w:val="28"/>
                      <w:szCs w:val="28"/>
                    </w:rPr>
                    <w:t xml:space="preserve"> 2021 року</w:t>
                  </w:r>
                </w:p>
                <w:p w:rsidR="003501B0" w:rsidRPr="00E17569" w:rsidRDefault="003501B0" w:rsidP="00E17569">
                  <w:pPr>
                    <w:rPr>
                      <w:rFonts w:cs="Times New Roman"/>
                    </w:rPr>
                  </w:pPr>
                </w:p>
              </w:txbxContent>
            </v:textbox>
          </v:shape>
        </w:pict>
      </w:r>
      <w:r w:rsidRPr="00A92639">
        <w:rPr>
          <w:noProof/>
          <w:lang w:eastAsia="uk-UA"/>
        </w:rPr>
        <w:pict>
          <v:shape id="Поле 21" o:spid="_x0000_s1149" type="#_x0000_t202" style="position:absolute;margin-left:521.2pt;margin-top:4.85pt;width:375.85pt;height:104.7pt;z-index:251707904;visibility:visible" filled="f" stroked="f" strokeweight=".5pt">
            <v:textbox style="mso-next-textbox:#Поле 21">
              <w:txbxContent>
                <w:p w:rsidR="00413F2C" w:rsidRDefault="00413F2C" w:rsidP="00413F2C">
                  <w:pPr>
                    <w:spacing w:after="0" w:line="240" w:lineRule="auto"/>
                    <w:rPr>
                      <w:rFonts w:ascii="e-Ukraine" w:hAnsi="e-Ukraine"/>
                      <w:bCs/>
                      <w:sz w:val="32"/>
                      <w:szCs w:val="32"/>
                    </w:rPr>
                  </w:pPr>
                  <w:r w:rsidRPr="006C0696">
                    <w:rPr>
                      <w:rFonts w:ascii="e-Ukraine" w:hAnsi="e-Ukraine"/>
                      <w:bCs/>
                      <w:sz w:val="32"/>
                      <w:szCs w:val="32"/>
                    </w:rPr>
                    <w:t xml:space="preserve">Державна податкова </w:t>
                  </w:r>
                </w:p>
                <w:p w:rsidR="00413F2C" w:rsidRDefault="00413F2C" w:rsidP="00413F2C">
                  <w:pPr>
                    <w:spacing w:after="0" w:line="240" w:lineRule="auto"/>
                    <w:rPr>
                      <w:rFonts w:ascii="e-Ukraine" w:hAnsi="e-Ukraine"/>
                      <w:bCs/>
                      <w:sz w:val="32"/>
                      <w:szCs w:val="32"/>
                    </w:rPr>
                  </w:pPr>
                  <w:r w:rsidRPr="006C0696">
                    <w:rPr>
                      <w:rFonts w:ascii="e-Ukraine" w:hAnsi="e-Ukraine"/>
                      <w:bCs/>
                      <w:sz w:val="32"/>
                      <w:szCs w:val="32"/>
                    </w:rPr>
                    <w:t>служба України</w:t>
                  </w:r>
                </w:p>
                <w:p w:rsidR="00413F2C" w:rsidRPr="00B31800" w:rsidRDefault="00413F2C" w:rsidP="00413F2C">
                  <w:pPr>
                    <w:spacing w:after="0" w:line="240" w:lineRule="auto"/>
                    <w:rPr>
                      <w:rFonts w:ascii="e-Ukraine" w:hAnsi="e-Ukraine"/>
                      <w:bCs/>
                      <w:sz w:val="16"/>
                      <w:szCs w:val="16"/>
                    </w:rPr>
                  </w:pPr>
                </w:p>
                <w:p w:rsidR="00413F2C" w:rsidRPr="006C0696" w:rsidRDefault="00413F2C" w:rsidP="00413F2C">
                  <w:pPr>
                    <w:spacing w:after="0" w:line="240" w:lineRule="auto"/>
                    <w:rPr>
                      <w:rFonts w:ascii="e-Ukraine" w:hAnsi="e-Ukraine"/>
                      <w:bCs/>
                      <w:sz w:val="6"/>
                      <w:szCs w:val="6"/>
                    </w:rPr>
                  </w:pPr>
                </w:p>
                <w:p w:rsidR="00413F2C" w:rsidRPr="006C0696" w:rsidRDefault="00413F2C" w:rsidP="00413F2C">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413F2C" w:rsidRPr="006C0696" w:rsidRDefault="00413F2C" w:rsidP="00413F2C">
                  <w:pPr>
                    <w:spacing w:after="0" w:line="240" w:lineRule="auto"/>
                    <w:rPr>
                      <w:rFonts w:ascii="e-Ukraine" w:hAnsi="e-Ukraine"/>
                      <w:sz w:val="32"/>
                      <w:szCs w:val="32"/>
                    </w:rPr>
                  </w:pPr>
                  <w:r w:rsidRPr="006C0696">
                    <w:rPr>
                      <w:rFonts w:ascii="e-Ukraine" w:hAnsi="e-Ukraine"/>
                      <w:bCs/>
                      <w:sz w:val="32"/>
                      <w:szCs w:val="32"/>
                    </w:rPr>
                    <w:t>Дніпропетровській області</w:t>
                  </w:r>
                </w:p>
              </w:txbxContent>
            </v:textbox>
          </v:shape>
        </w:pict>
      </w:r>
      <w:r w:rsidR="00413F2C">
        <w:rPr>
          <w:noProof/>
          <w:lang w:eastAsia="uk-UA"/>
        </w:rPr>
        <w:drawing>
          <wp:anchor distT="0" distB="0" distL="114300" distR="114300" simplePos="0" relativeHeight="251708928"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1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a:ln w="9525">
                      <a:noFill/>
                      <a:miter lim="800000"/>
                      <a:headEnd/>
                      <a:tailEnd/>
                    </a:ln>
                  </pic:spPr>
                </pic:pic>
              </a:graphicData>
            </a:graphic>
          </wp:anchor>
        </w:drawing>
      </w: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A846EC">
      <w:pPr>
        <w:rPr>
          <w:rFonts w:cs="Times New Roman"/>
        </w:rPr>
      </w:pPr>
      <w:r w:rsidRPr="00A92639">
        <w:rPr>
          <w:noProof/>
          <w:lang w:eastAsia="uk-UA"/>
        </w:rPr>
        <w:pict>
          <v:shape id="Надпись 5" o:spid="_x0000_s1152" type="#_x0000_t202" style="position:absolute;margin-left:416.15pt;margin-top:19.9pt;width:351pt;height:95.8pt;z-index:251709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Y0gIAAMY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" filled="f" stroked="f" strokeweight=".5pt">
            <v:textbox style="mso-next-textbox:#Надпись 5">
              <w:txbxContent>
                <w:p w:rsidR="00CE3935" w:rsidRDefault="00CE3935" w:rsidP="0087316D">
                  <w:pPr>
                    <w:spacing w:after="0" w:line="240" w:lineRule="auto"/>
                    <w:jc w:val="center"/>
                    <w:rPr>
                      <w:rFonts w:ascii="e-Ukraine Bold" w:hAnsi="e-Ukraine Bold"/>
                      <w:b/>
                      <w:sz w:val="36"/>
                      <w:szCs w:val="36"/>
                    </w:rPr>
                  </w:pPr>
                  <w:r>
                    <w:rPr>
                      <w:rFonts w:ascii="e-Ukraine Bold" w:hAnsi="e-Ukraine Bold"/>
                      <w:b/>
                      <w:sz w:val="36"/>
                      <w:szCs w:val="36"/>
                    </w:rPr>
                    <w:t>П</w:t>
                  </w:r>
                  <w:r w:rsidRPr="00CE3935">
                    <w:rPr>
                      <w:rFonts w:ascii="e-Ukraine Bold" w:hAnsi="e-Ukraine Bold"/>
                      <w:b/>
                      <w:sz w:val="36"/>
                      <w:szCs w:val="36"/>
                    </w:rPr>
                    <w:t>раво на нарахування податкової знижки</w:t>
                  </w:r>
                </w:p>
                <w:p w:rsidR="0087316D" w:rsidRPr="009323FD" w:rsidRDefault="00CE3935" w:rsidP="0087316D">
                  <w:pPr>
                    <w:spacing w:after="0" w:line="240" w:lineRule="auto"/>
                    <w:jc w:val="center"/>
                    <w:rPr>
                      <w:rFonts w:ascii="e-Ukraine Bold" w:hAnsi="e-Ukraine Bold"/>
                      <w:b/>
                      <w:sz w:val="36"/>
                      <w:szCs w:val="36"/>
                    </w:rPr>
                  </w:pPr>
                  <w:r w:rsidRPr="00CE3935">
                    <w:rPr>
                      <w:rFonts w:ascii="e-Ukraine Bold" w:hAnsi="e-Ukraine Bold"/>
                      <w:b/>
                      <w:sz w:val="36"/>
                      <w:szCs w:val="36"/>
                    </w:rPr>
                    <w:t> щодо частини суми процентів за іпотечним кредитом</w:t>
                  </w:r>
                  <w:r w:rsidR="00A846EC">
                    <w:rPr>
                      <w:rFonts w:ascii="e-Ukraine Bold" w:hAnsi="e-Ukraine Bold"/>
                      <w:b/>
                      <w:sz w:val="36"/>
                      <w:szCs w:val="36"/>
                    </w:rPr>
                    <w:t xml:space="preserve"> </w:t>
                  </w:r>
                </w:p>
                <w:p w:rsidR="00413F2C" w:rsidRPr="0087316D" w:rsidRDefault="00413F2C" w:rsidP="0087316D">
                  <w:pPr>
                    <w:rPr>
                      <w:szCs w:val="36"/>
                    </w:rPr>
                  </w:pPr>
                </w:p>
              </w:txbxContent>
            </v:textbox>
            <w10:wrap anchorx="margin"/>
          </v:shape>
        </w:pict>
      </w: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FC1ED9" w:rsidRDefault="00A92639">
      <w:pPr>
        <w:rPr>
          <w:rFonts w:cs="Times New Roman"/>
        </w:rPr>
      </w:pPr>
      <w:r w:rsidRPr="00A92639">
        <w:rPr>
          <w:noProof/>
          <w:lang w:eastAsia="uk-UA"/>
        </w:rPr>
        <w:lastRenderedPageBreak/>
        <w:pict>
          <v:group id="Группа 92" o:spid="_x0000_s1039" style="position:absolute;margin-left:-2.65pt;margin-top:-4.85pt;width:791.8pt;height:551.3pt;z-index:251673088" coordorigin=",1535" coordsize="100558,70022" o:regroupid="2">
            <v:group id="Группа 20" o:spid="_x0000_s1040" style="position:absolute;left:476;top:6572;width:99269;height:61379" coordsize="99269,61379">
              <v:shape id="_x0000_s1041" type="#_x0000_t202" style="position:absolute;width:48025;height:61379;visibility:visible" filled="f" stroked="f" strokeweight=".5pt">
                <v:textbox style="mso-next-textbox:#Поле 147">
                  <w:txbxContent>
                    <w:p w:rsidR="0087316D" w:rsidRPr="00CE3935" w:rsidRDefault="0087316D" w:rsidP="00CE3935">
                      <w:pPr>
                        <w:pStyle w:val="af6"/>
                        <w:shd w:val="clear" w:color="auto" w:fill="FFFFFF"/>
                        <w:tabs>
                          <w:tab w:val="left" w:pos="142"/>
                          <w:tab w:val="left" w:pos="6946"/>
                        </w:tabs>
                        <w:spacing w:before="0" w:beforeAutospacing="0" w:after="240" w:afterAutospacing="0"/>
                        <w:ind w:left="284" w:right="201" w:firstLine="709"/>
                        <w:jc w:val="both"/>
                        <w:textAlignment w:val="baseline"/>
                        <w:rPr>
                          <w:rFonts w:ascii="e-Ukraine" w:hAnsi="e-Ukraine" w:cs="Calibri"/>
                          <w:color w:val="000000"/>
                          <w:sz w:val="28"/>
                          <w:szCs w:val="28"/>
                          <w:lang w:val="uk-UA"/>
                        </w:rPr>
                      </w:pPr>
                      <w:r w:rsidRPr="00CE3935">
                        <w:rPr>
                          <w:rFonts w:ascii="e-Ukraine" w:hAnsi="e-Ukraine" w:cs="Calibri"/>
                          <w:color w:val="000000"/>
                          <w:sz w:val="28"/>
                          <w:szCs w:val="28"/>
                          <w:lang w:val="uk-UA"/>
                        </w:rPr>
                        <w:t>Відділ комунікацій з громадськістю управління інформаційної взаємодії ГУ ДПС у Дніпропетровській області (територія обслуговування Нікопольського регіону) повідомляє.</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 xml:space="preserve">Відповідно до </w:t>
                      </w:r>
                      <w:proofErr w:type="spellStart"/>
                      <w:r w:rsidRPr="00CE3935">
                        <w:rPr>
                          <w:rFonts w:ascii="e-Ukraine" w:hAnsi="e-Ukraine"/>
                          <w:color w:val="000000"/>
                          <w:sz w:val="28"/>
                          <w:szCs w:val="28"/>
                          <w:lang w:eastAsia="ru-RU"/>
                        </w:rPr>
                        <w:t>п.п</w:t>
                      </w:r>
                      <w:proofErr w:type="spellEnd"/>
                      <w:r w:rsidRPr="00CE3935">
                        <w:rPr>
                          <w:rFonts w:ascii="e-Ukraine" w:hAnsi="e-Ukraine"/>
                          <w:color w:val="000000"/>
                          <w:sz w:val="28"/>
                          <w:szCs w:val="28"/>
                          <w:lang w:eastAsia="ru-RU"/>
                        </w:rPr>
                        <w:t>. 166.3.1 п. 166.3 ст. 166 Податкового кодексу України від 02 грудня 2010 року № 2755-VI зі змінами та доповненнями (далі –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фактично здійснені ним протягом звітного податкового року витрати, зокрема, частину суми процентів, сплачених таким платником податку за користування іпотечним житловим кредитом, що визначається відповідно до ст. 175 ПКУ.</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 (п. 175.1 ст. 175 ПКУ).</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w:t>
                      </w:r>
                      <w:proofErr w:type="spellStart"/>
                      <w:r w:rsidRPr="00CE3935">
                        <w:rPr>
                          <w:rFonts w:ascii="e-Ukraine" w:hAnsi="e-Ukraine"/>
                          <w:color w:val="000000"/>
                          <w:sz w:val="28"/>
                          <w:szCs w:val="28"/>
                          <w:lang w:eastAsia="ru-RU"/>
                        </w:rPr>
                        <w:t>отримувача</w:t>
                      </w:r>
                      <w:proofErr w:type="spellEnd"/>
                      <w:r w:rsidRPr="00CE3935">
                        <w:rPr>
                          <w:rFonts w:ascii="e-Ukraine" w:hAnsi="e-Ukraine"/>
                          <w:color w:val="000000"/>
                          <w:sz w:val="28"/>
                          <w:szCs w:val="28"/>
                          <w:lang w:eastAsia="ru-RU"/>
                        </w:rPr>
                        <w:t>),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roofErr w:type="spellStart"/>
                      <w:r w:rsidRPr="00CE3935">
                        <w:rPr>
                          <w:rFonts w:ascii="e-Ukraine" w:hAnsi="e-Ukraine"/>
                          <w:color w:val="000000"/>
                          <w:sz w:val="28"/>
                          <w:szCs w:val="28"/>
                          <w:lang w:eastAsia="ru-RU"/>
                        </w:rPr>
                        <w:t>п.п</w:t>
                      </w:r>
                      <w:proofErr w:type="spellEnd"/>
                      <w:r w:rsidRPr="00CE3935">
                        <w:rPr>
                          <w:rFonts w:ascii="e-Ukraine" w:hAnsi="e-Ukraine"/>
                          <w:color w:val="000000"/>
                          <w:sz w:val="28"/>
                          <w:szCs w:val="28"/>
                          <w:lang w:eastAsia="ru-RU"/>
                        </w:rPr>
                        <w:t>. 166.2.1 п. 166.2 ст. 166 ПКУ).</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 xml:space="preserve">Копії зазначених у </w:t>
                      </w:r>
                      <w:proofErr w:type="spellStart"/>
                      <w:r w:rsidRPr="00CE3935">
                        <w:rPr>
                          <w:rFonts w:ascii="e-Ukraine" w:hAnsi="e-Ukraine"/>
                          <w:color w:val="000000"/>
                          <w:sz w:val="28"/>
                          <w:szCs w:val="28"/>
                          <w:lang w:eastAsia="ru-RU"/>
                        </w:rPr>
                        <w:t>п.п</w:t>
                      </w:r>
                      <w:proofErr w:type="spellEnd"/>
                      <w:r w:rsidRPr="00CE3935">
                        <w:rPr>
                          <w:rFonts w:ascii="e-Ukraine" w:hAnsi="e-Ukraine"/>
                          <w:color w:val="000000"/>
                          <w:sz w:val="28"/>
                          <w:szCs w:val="28"/>
                          <w:lang w:eastAsia="ru-RU"/>
                        </w:rPr>
                        <w:t>. 166.2.1 п. 166.2 ст. 166 ПКУ документів (крім електронних розрахункових документів) надаються разом з податковою декларацією про майновий стан і доходи (далі – податкова декларація), а оригінали цих документів не надсилаються контролюючому органу, але підлягають зберіганню платником податку протягом строку давності,</w:t>
                      </w:r>
                      <w:r w:rsidRPr="00CE3935">
                        <w:rPr>
                          <w:rFonts w:ascii="Arial" w:hAnsi="Arial" w:cs="Arial"/>
                          <w:color w:val="000000"/>
                          <w:sz w:val="28"/>
                          <w:szCs w:val="28"/>
                          <w:shd w:val="clear" w:color="auto" w:fill="FFFFFF"/>
                        </w:rPr>
                        <w:t xml:space="preserve"> </w:t>
                      </w:r>
                      <w:r w:rsidRPr="00CE3935">
                        <w:rPr>
                          <w:rFonts w:ascii="e-Ukraine" w:hAnsi="e-Ukraine"/>
                          <w:color w:val="000000"/>
                          <w:sz w:val="28"/>
                          <w:szCs w:val="28"/>
                          <w:lang w:eastAsia="ru-RU"/>
                        </w:rPr>
                        <w:t>встановленого ПКУ.</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У разі якщо відповідні витрати підтверджені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w:t>
                      </w:r>
                      <w:proofErr w:type="spellStart"/>
                      <w:r w:rsidRPr="00CE3935">
                        <w:rPr>
                          <w:rFonts w:ascii="e-Ukraine" w:hAnsi="e-Ukraine"/>
                          <w:color w:val="000000"/>
                          <w:sz w:val="28"/>
                          <w:szCs w:val="28"/>
                          <w:lang w:eastAsia="ru-RU"/>
                        </w:rPr>
                        <w:t>п.п</w:t>
                      </w:r>
                      <w:proofErr w:type="spellEnd"/>
                      <w:r w:rsidRPr="00CE3935">
                        <w:rPr>
                          <w:rFonts w:ascii="e-Ukraine" w:hAnsi="e-Ukraine"/>
                          <w:color w:val="000000"/>
                          <w:sz w:val="28"/>
                          <w:szCs w:val="28"/>
                          <w:lang w:eastAsia="ru-RU"/>
                        </w:rPr>
                        <w:t>. 166.2.2 п. 166.2 ст. 166 ПКУ).</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Основними нормативно-правовими актами в кредитних питаннях є Цивільний кодекс України від 16 січня 2003 року № 435-IV із змінами та доповненнями (далі – ЦКУ) і Закон України «Про банки та банківську діяльність» від 07 грудня 2000 року № 2121-ІІІ із змінами та доповненнями(далі – Закон № 2121).</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Відповідно до ст. 1055 ЦКУ кредитний договір укладається у письмовій формі. Кредитний договір, укладений з недотриманням письмової форми, вважається нікчемним.</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Статтею 55 Закону № 2121 визначено, що відносини банку з клієнтом регулюються законодавством України, нормативно-правовими актами Національного банку України та угодами (договорами) між клієнтом та банком.</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Згідно з ст. 3 Закону України від 05 червня 2003 року № 898-ІV «Про іпотеку» із змінами та доповненнями (далі – Закон № 898) іпотека виникає на підставі договору, закону або рішення суду.</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Виходячи з норм Закону № 898 кредитні договори платника податку, який бажає нарахувати податкову</w:t>
                      </w:r>
                      <w:r w:rsidRPr="00CE3935">
                        <w:rPr>
                          <w:rFonts w:ascii="Arial" w:hAnsi="Arial" w:cs="Arial"/>
                          <w:color w:val="000000"/>
                          <w:sz w:val="28"/>
                          <w:szCs w:val="28"/>
                          <w:shd w:val="clear" w:color="auto" w:fill="FFFFFF"/>
                        </w:rPr>
                        <w:t xml:space="preserve"> </w:t>
                      </w:r>
                      <w:r w:rsidRPr="00CE3935">
                        <w:rPr>
                          <w:rFonts w:ascii="e-Ukraine" w:hAnsi="e-Ukraine"/>
                          <w:color w:val="000000"/>
                          <w:sz w:val="28"/>
                          <w:szCs w:val="28"/>
                          <w:lang w:eastAsia="ru-RU"/>
                        </w:rPr>
                        <w:t>знижку на частину суми процентів, сплачених ним за користування іпотечним житловим кредитом, повинні відповідати, зокрема, таким умовам: у кредитному договорі зазначено, що ціллю його надання є придбання (будівництво) житла, яке приймається кредитором у заставу; до кредитного договору в обов’язковому порядку має бути укладений договір іпотеки (застави) нерухомого майна, що придбавається чи будується, який є невід’ємним доповненням до такого кредитного договору; договір іпотеки (застави) обов’язково має бути нотаріально посвідченим.</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Таким чином, платник податку – резидент має право включити до податкової знижки частину суми процентів за користування іпотечним житловим кредитом за умови наявності документального підтвердження витрат, що включаються до податкової знижки:</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кредитного договору та нотаріально завіреного договору іпотеки;</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відповідних платіжних документів, в яких чітко визначено суму сплачених відсотків за користування іпотечним кредитом та прізвище, ім’я, по-батькові платника податку як платника цих процентів (рахунок з відбитком каси про перерахування коштів, платіжне доручення банку з відміткою про перерахування коштів);</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паспорта платника податку з позначкою про реєстрацію за місцезнаходженням житлового будинку (квартири, кімнати), щодо якого оформлено іпотечний житловий кредит.</w:t>
                      </w:r>
                    </w:p>
                    <w:p w:rsidR="00CE3935" w:rsidRDefault="00CE3935" w:rsidP="00CE3935">
                      <w:pPr>
                        <w:spacing w:line="240" w:lineRule="auto"/>
                        <w:ind w:left="284" w:right="201" w:firstLine="709"/>
                        <w:jc w:val="both"/>
                        <w:rPr>
                          <w:rFonts w:ascii="e-Ukraine" w:hAnsi="e-Ukraine"/>
                          <w:color w:val="000000"/>
                          <w:sz w:val="28"/>
                          <w:szCs w:val="28"/>
                          <w:lang w:eastAsia="ru-RU"/>
                        </w:rPr>
                      </w:pPr>
                      <w:r w:rsidRPr="00CE3935">
                        <w:rPr>
                          <w:rFonts w:ascii="e-Ukraine" w:hAnsi="e-Ukraine"/>
                          <w:color w:val="000000"/>
                          <w:sz w:val="28"/>
                          <w:szCs w:val="28"/>
                          <w:lang w:eastAsia="ru-RU"/>
                        </w:rPr>
                        <w:t>Водночас, згідно до п. 176.1 ст. 176 ПКУ платники податку зобов’язані на вимогу контролюючого органу та в межах його повноважень, визначених законодавством,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достовірності відомостей, зазначених у податковій декларації з цього податку.</w:t>
                      </w:r>
                    </w:p>
                    <w:p w:rsidR="00CE3935" w:rsidRPr="00CE3935" w:rsidRDefault="00CE3935" w:rsidP="00CE3935">
                      <w:pPr>
                        <w:spacing w:line="240" w:lineRule="auto"/>
                        <w:ind w:left="284" w:right="201" w:firstLine="709"/>
                        <w:jc w:val="both"/>
                        <w:rPr>
                          <w:rFonts w:ascii="e-Ukraine" w:hAnsi="e-Ukraine"/>
                          <w:color w:val="000000"/>
                          <w:sz w:val="28"/>
                          <w:szCs w:val="28"/>
                          <w:lang w:eastAsia="ru-RU"/>
                        </w:rPr>
                      </w:pPr>
                    </w:p>
                    <w:p w:rsidR="00080354" w:rsidRPr="00CE3935" w:rsidRDefault="00080354" w:rsidP="00CE3935">
                      <w:pPr>
                        <w:tabs>
                          <w:tab w:val="left" w:pos="6946"/>
                        </w:tabs>
                        <w:spacing w:before="120" w:line="240" w:lineRule="auto"/>
                        <w:ind w:right="201"/>
                        <w:jc w:val="both"/>
                        <w:rPr>
                          <w:rFonts w:cs="Times New Roman"/>
                          <w:sz w:val="28"/>
                          <w:szCs w:val="28"/>
                        </w:rPr>
                      </w:pPr>
                      <w:r w:rsidRPr="00CE3935">
                        <w:rPr>
                          <w:rFonts w:cs="Times New Roman"/>
                          <w:noProof/>
                          <w:sz w:val="28"/>
                          <w:szCs w:val="28"/>
                          <w:lang w:eastAsia="uk-UA"/>
                        </w:rPr>
                        <w:drawing>
                          <wp:inline distT="0" distB="0" distL="0" distR="0">
                            <wp:extent cx="4684889" cy="743283"/>
                            <wp:effectExtent l="19050" t="0" r="141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93635" cy="744671"/>
                                    </a:xfrm>
                                    <a:prstGeom prst="rect">
                                      <a:avLst/>
                                    </a:prstGeom>
                                    <a:noFill/>
                                    <a:ln w="9525">
                                      <a:noFill/>
                                      <a:miter lim="800000"/>
                                      <a:headEnd/>
                                      <a:tailEnd/>
                                    </a:ln>
                                  </pic:spPr>
                                </pic:pic>
                              </a:graphicData>
                            </a:graphic>
                          </wp:inline>
                        </w:drawing>
                      </w:r>
                    </w:p>
                  </w:txbxContent>
                </v:textbox>
              </v:shape>
              <v:shape id="Поле 22" o:spid="_x0000_s1042" type="#_x0000_t202" style="position:absolute;left:51244;width:48025;height:61379;visibility:visible" filled="f" stroked="f" strokeweight=".5pt">
                <v:textbox style="mso-next-textbox:#Поле 22">
                  <w:txbxContent/>
                </v:textbox>
              </v:shape>
            </v:group>
            <v:group id="Группа 91" o:spid="_x0000_s1043" style="position:absolute;top:1535;width:100558;height:70023" coordorigin=",1535" coordsize="100558,70022">
              <v:group id="Группа 12" o:spid="_x0000_s1044" style="position:absolute;top:1535;width:49314;height:69927" coordorigin=",1536" coordsize="49314,69931">
                <v:group id="Группа 13" o:spid="_x0000_s1045" style="position:absolute;top:1536;width:49314;height:69819" coordorigin=",1536" coordsize="49314,69824">
                  <v:roundrect id="Скругленный прямоугольник 16" o:spid="_x0000_s1046" style="position:absolute;top:1536;width:49314;height:68778;visibility:visible;v-text-anchor:middle" arcsize="989f" filled="f" strokecolor="#bfbfbf" strokeweight="5pt">
                    <v:stroke linestyle="thinThin" joinstyle="miter"/>
                  </v:roundrect>
                  <v:oval id="Овал 18" o:spid="_x0000_s1047" style="position:absolute;left:23481;top:69128;width:2232;height:2232;visibility:visible;v-text-anchor:middle" fillcolor="#272727" stroked="f" strokeweight="2pt">
                    <v:path arrowok="t"/>
                    <o:lock v:ext="edit" aspectratio="t"/>
                  </v:oval>
                </v:group>
                <v:shape id="Поле 19" o:spid="_x0000_s1048" type="#_x0000_t202" style="position:absolute;left:23335;top:68762;width:2534;height:2705;visibility:visible" filled="f" stroked="f" strokeweight=".5pt">
                  <v:textbox style="mso-next-textbox:#Поле 19">
                    <w:txbxContent>
                      <w:p w:rsidR="003501B0" w:rsidRPr="00EE0AF6" w:rsidRDefault="003501B0" w:rsidP="005B2E53">
                        <w:pPr>
                          <w:jc w:val="center"/>
                          <w:rPr>
                            <w:b/>
                            <w:bCs/>
                            <w:color w:val="BFBFBF"/>
                          </w:rPr>
                        </w:pPr>
                        <w:r w:rsidRPr="00EE0AF6">
                          <w:rPr>
                            <w:b/>
                            <w:bCs/>
                            <w:color w:val="BFBFBF"/>
                          </w:rPr>
                          <w:t>2</w:t>
                        </w:r>
                      </w:p>
                    </w:txbxContent>
                  </v:textbox>
                </v:shape>
              </v:group>
              <v:group id="Группа 31" o:spid="_x0000_s1049" style="position:absolute;left:51244;top:1536;width:49314;height:70022" coordorigin=",1536" coordsize="49314,70027">
                <v:group id="Группа 26" o:spid="_x0000_s1050" style="position:absolute;top:1536;width:49314;height:69824" coordorigin=",1536" coordsize="49314,69824">
                  <v:roundrect id="Скругленный прямоугольник 27" o:spid="_x0000_s1051" style="position:absolute;top:1536;width:49314;height:68778;visibility:visible;v-text-anchor:middle" arcsize="989f" filled="f" strokecolor="#bfbfbf" strokeweight="5pt">
                    <v:stroke linestyle="thinThin" joinstyle="miter"/>
                  </v:roundrect>
                  <v:oval id="Овал 29" o:spid="_x0000_s1052" style="position:absolute;left:23481;top:69128;width:2232;height:2232;visibility:visible;v-text-anchor:middle" fillcolor="#272727" stroked="f" strokeweight="2pt">
                    <v:path arrowok="t"/>
                    <o:lock v:ext="edit" aspectratio="t"/>
                  </v:oval>
                </v:group>
                <v:shape id="Поле 30" o:spid="_x0000_s1053" type="#_x0000_t202" style="position:absolute;left:22658;top:68858;width:3905;height:2705;visibility:visible" filled="f" stroked="f" strokeweight=".5pt">
                  <v:textbox style="mso-next-textbox:#Поле 30">
                    <w:txbxContent>
                      <w:p w:rsidR="003501B0" w:rsidRPr="00CA1C7A" w:rsidRDefault="0087316D" w:rsidP="005B2E53">
                        <w:pPr>
                          <w:jc w:val="center"/>
                          <w:rPr>
                            <w:rFonts w:cs="Times New Roman"/>
                            <w:b/>
                            <w:bCs/>
                            <w:color w:val="BFBFBF"/>
                          </w:rPr>
                        </w:pPr>
                        <w:r>
                          <w:rPr>
                            <w:rFonts w:cs="Times New Roman"/>
                            <w:b/>
                            <w:bCs/>
                            <w:color w:val="BFBFBF"/>
                          </w:rPr>
                          <w:t>7</w:t>
                        </w:r>
                      </w:p>
                    </w:txbxContent>
                  </v:textbox>
                </v:shape>
              </v:group>
            </v:group>
          </v:group>
        </w:pict>
      </w:r>
      <w:r w:rsidR="004E586F">
        <w:rPr>
          <w:noProof/>
          <w:lang w:eastAsia="uk-UA"/>
        </w:rPr>
        <w:drawing>
          <wp:anchor distT="0" distB="0" distL="114300" distR="114300" simplePos="0" relativeHeight="251676160"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8"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a:ln w="9525">
                      <a:noFill/>
                      <a:miter lim="800000"/>
                      <a:headEnd/>
                      <a:tailEnd/>
                    </a:ln>
                  </pic:spPr>
                </pic:pic>
              </a:graphicData>
            </a:graphic>
          </wp:anchor>
        </w:drawing>
      </w:r>
      <w:r w:rsidR="004E586F">
        <w:rPr>
          <w:noProof/>
          <w:lang w:eastAsia="uk-UA"/>
        </w:rPr>
        <w:drawing>
          <wp:anchor distT="0" distB="0" distL="114300" distR="114300" simplePos="0" relativeHeight="25167820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11"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a:ln w="9525">
                      <a:noFill/>
                      <a:miter lim="800000"/>
                      <a:headEnd/>
                      <a:tailEnd/>
                    </a:ln>
                  </pic:spPr>
                </pic:pic>
              </a:graphicData>
            </a:graphic>
          </wp:anchor>
        </w:drawing>
      </w: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FC1ED9" w:rsidRDefault="00FC1ED9" w:rsidP="005B38A6">
      <w:pPr>
        <w:tabs>
          <w:tab w:val="left" w:pos="8680"/>
        </w:tabs>
        <w:rPr>
          <w:rFonts w:cs="Times New Roman"/>
        </w:rPr>
      </w:pPr>
      <w:r>
        <w:rPr>
          <w:rFonts w:cs="Times New Roman"/>
        </w:rPr>
        <w:tab/>
      </w: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707A0E">
      <w:pPr>
        <w:rPr>
          <w:rFonts w:cs="Times New Roman"/>
        </w:rPr>
      </w:pPr>
      <w:r>
        <w:rPr>
          <w:noProof/>
          <w:lang w:eastAsia="uk-UA"/>
        </w:rPr>
        <w:lastRenderedPageBreak/>
        <w:drawing>
          <wp:anchor distT="0" distB="0" distL="114300" distR="114300" simplePos="0" relativeHeight="251706880"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15"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Pr>
          <w:noProof/>
          <w:lang w:eastAsia="uk-UA"/>
        </w:rPr>
        <w:drawing>
          <wp:anchor distT="0" distB="0" distL="114300" distR="114300" simplePos="0" relativeHeight="251705856"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14"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sidR="00A92639" w:rsidRPr="00A92639">
        <w:rPr>
          <w:noProof/>
          <w:lang w:eastAsia="uk-UA"/>
        </w:rPr>
        <w:pict>
          <v:group id="Группа 93" o:spid="_x0000_s1063" style="position:absolute;margin-left:-9.2pt;margin-top:-8.3pt;width:791.8pt;height:551.35pt;z-index:251704832;mso-position-horizontal-relative:text;mso-position-vertical-relative:text" coordorigin=",1535" coordsize="100558,70022" o:regroupid="6">
            <v:group id="Группа 94" o:spid="_x0000_s1064" style="position:absolute;left:476;top:6572;width:99269;height:61379" coordsize="99269,61379">
              <v:shape id="Поле 95" o:spid="_x0000_s1065" type="#_x0000_t202" style="position:absolute;width:48025;height:61379;visibility:visible" filled="f" stroked="f" strokeweight=".5pt">
                <v:textbox style="mso-next-textbox:#Поле 96">
                  <w:txbxContent/>
                </v:textbox>
              </v:shape>
              <v:shape id="Поле 96" o:spid="_x0000_s1066" type="#_x0000_t202" style="position:absolute;left:51244;width:48025;height:61379;visibility:visible" filled="f" stroked="f" strokeweight=".5pt">
                <v:textbox style="mso-next-textbox:#Поле 146">
                  <w:txbxContent/>
                </v:textbox>
              </v:shape>
            </v:group>
            <v:group id="Группа 97" o:spid="_x0000_s1067" style="position:absolute;top:1535;width:100558;height:70023" coordorigin=",1535" coordsize="100558,70022">
              <v:group id="Группа 98" o:spid="_x0000_s1068" style="position:absolute;top:1535;width:49314;height:69927" coordorigin=",1536" coordsize="49314,69931">
                <v:group id="Группа 99" o:spid="_x0000_s1069" style="position:absolute;top:1536;width:49314;height:69819" coordorigin=",1536" coordsize="49314,69824">
                  <v:roundrect id="Скругленный прямоугольник 100" o:spid="_x0000_s1070" style="position:absolute;top:1536;width:49314;height:68778;visibility:visible;v-text-anchor:middle" arcsize="989f" filled="f" strokecolor="#bfbfbf" strokeweight="5pt">
                    <v:stroke linestyle="thinThin" joinstyle="miter"/>
                  </v:roundrect>
                  <v:oval id="Овал 102" o:spid="_x0000_s1071" style="position:absolute;left:23481;top:69128;width:2232;height:2232;visibility:visible;v-text-anchor:middle" fillcolor="#272727" stroked="f" strokeweight="2pt">
                    <v:path arrowok="t"/>
                    <o:lock v:ext="edit" aspectratio="t"/>
                  </v:oval>
                </v:group>
                <v:shape id="Поле 103" o:spid="_x0000_s1072" type="#_x0000_t202" style="position:absolute;left:23335;top:68762;width:2534;height:2705;visibility:visible" filled="f" stroked="f" strokeweight=".5pt">
                  <v:textbox style="mso-next-textbox:#Поле 103">
                    <w:txbxContent>
                      <w:p w:rsidR="003501B0" w:rsidRPr="00EE0AF6" w:rsidRDefault="003501B0" w:rsidP="005B2E53">
                        <w:pPr>
                          <w:jc w:val="center"/>
                          <w:rPr>
                            <w:b/>
                            <w:bCs/>
                            <w:color w:val="BFBFBF"/>
                            <w:lang w:val="en-US"/>
                          </w:rPr>
                        </w:pPr>
                        <w:r w:rsidRPr="00EE0AF6">
                          <w:rPr>
                            <w:b/>
                            <w:bCs/>
                            <w:color w:val="BFBFBF"/>
                            <w:lang w:val="en-US"/>
                          </w:rPr>
                          <w:t>4</w:t>
                        </w:r>
                      </w:p>
                    </w:txbxContent>
                  </v:textbox>
                </v:shape>
              </v:group>
              <v:group id="Группа 104" o:spid="_x0000_s1073" style="position:absolute;left:51244;top:1536;width:49314;height:70022" coordorigin=",1536" coordsize="49314,70027">
                <v:group id="Группа 105" o:spid="_x0000_s1074" style="position:absolute;top:1536;width:49314;height:69824" coordorigin=",1536" coordsize="49314,69824">
                  <v:roundrect id="Скругленный прямоугольник 106" o:spid="_x0000_s1075" style="position:absolute;top:1536;width:49314;height:68778;visibility:visible;v-text-anchor:middle" arcsize="989f" filled="f" strokecolor="#bfbfbf" strokeweight="5pt">
                    <v:stroke linestyle="thinThin" joinstyle="miter"/>
                  </v:roundrect>
                  <v:oval id="Овал 108" o:spid="_x0000_s1076" style="position:absolute;left:23481;top:69128;width:2232;height:2232;visibility:visible;v-text-anchor:middle" fillcolor="#272727" stroked="f" strokeweight="2pt">
                    <v:path arrowok="t"/>
                    <o:lock v:ext="edit" aspectratio="t"/>
                  </v:oval>
                </v:group>
                <v:shape id="Поле 109" o:spid="_x0000_s1077" type="#_x0000_t202" style="position:absolute;left:22764;top:68858;width:3906;height:2705;visibility:visible" filled="f" stroked="f" strokeweight=".5pt">
                  <v:textbox style="mso-next-textbox:#Поле 109">
                    <w:txbxContent>
                      <w:p w:rsidR="003501B0" w:rsidRPr="00CA1C7A" w:rsidRDefault="0087316D" w:rsidP="005B2E53">
                        <w:pPr>
                          <w:jc w:val="center"/>
                          <w:rPr>
                            <w:rFonts w:cs="Times New Roman"/>
                            <w:b/>
                            <w:bCs/>
                            <w:color w:val="BFBFBF"/>
                          </w:rPr>
                        </w:pPr>
                        <w:r>
                          <w:rPr>
                            <w:b/>
                            <w:bCs/>
                            <w:color w:val="BFBFBF"/>
                          </w:rPr>
                          <w:t>5</w:t>
                        </w:r>
                      </w:p>
                    </w:txbxContent>
                  </v:textbox>
                </v:shape>
              </v:group>
            </v:group>
          </v:group>
        </w:pict>
      </w:r>
      <w:r w:rsidR="00A92639" w:rsidRPr="00A92639">
        <w:rPr>
          <w:noProof/>
          <w:lang w:eastAsia="uk-UA"/>
        </w:rPr>
        <w:pict>
          <v:shape id="Поле 10" o:spid="_x0000_s1061" type="#_x0000_t202" style="position:absolute;margin-left:-12pt;margin-top:2.8pt;width:371.9pt;height:49.3pt;z-index:251655680;visibility:visible;mso-position-horizontal-relative:text;mso-position-vertical-relative:text" filled="f" stroked="f" strokeweight=".5pt">
            <v:textbox style="mso-next-textbox:#Поле 10">
              <w:txbxContent>
                <w:p w:rsidR="003501B0" w:rsidRPr="00CA499A" w:rsidRDefault="003501B0" w:rsidP="00CA499A">
                  <w:pPr>
                    <w:rPr>
                      <w:szCs w:val="16"/>
                    </w:rPr>
                  </w:pPr>
                </w:p>
              </w:txbxContent>
            </v:textbox>
            <w10:anchorlock/>
          </v:shape>
        </w:pict>
      </w: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Pr="0088080D" w:rsidRDefault="00FC1ED9">
      <w:pPr>
        <w:rPr>
          <w:rFonts w:cs="Times New Roman"/>
        </w:rPr>
      </w:pPr>
    </w:p>
    <w:p w:rsidR="00FC1ED9" w:rsidRDefault="00FC1ED9">
      <w:pPr>
        <w:rPr>
          <w:rFonts w:cs="Times New Roman"/>
        </w:rPr>
      </w:pPr>
    </w:p>
    <w:p w:rsidR="00585AF7" w:rsidRDefault="00585AF7">
      <w:pPr>
        <w:rPr>
          <w:rFonts w:cs="Times New Roman"/>
        </w:rPr>
      </w:pPr>
    </w:p>
    <w:p w:rsidR="00585AF7" w:rsidRDefault="00585AF7">
      <w:pPr>
        <w:rPr>
          <w:rFonts w:cs="Times New Roman"/>
        </w:rPr>
      </w:pPr>
    </w:p>
    <w:p w:rsidR="00585AF7" w:rsidRDefault="00585AF7">
      <w:pPr>
        <w:rPr>
          <w:rFonts w:cs="Times New Roman"/>
        </w:rPr>
      </w:pPr>
    </w:p>
    <w:p w:rsidR="00585AF7" w:rsidRDefault="00585AF7">
      <w:pPr>
        <w:rPr>
          <w:rFonts w:cs="Times New Roman"/>
        </w:rPr>
      </w:pPr>
    </w:p>
    <w:p w:rsidR="00585AF7" w:rsidRPr="0088080D" w:rsidRDefault="00585AF7">
      <w:pPr>
        <w:rPr>
          <w:rFonts w:cs="Times New Roman"/>
        </w:rPr>
      </w:pPr>
    </w:p>
    <w:p w:rsidR="00FC1ED9" w:rsidRPr="0088080D" w:rsidRDefault="00D33BBE">
      <w:pPr>
        <w:rPr>
          <w:rFonts w:cs="Times New Roman"/>
        </w:rPr>
      </w:pPr>
      <w:r>
        <w:rPr>
          <w:rFonts w:cs="Times New Roman"/>
          <w:noProof/>
          <w:lang w:eastAsia="uk-UA"/>
        </w:rPr>
        <w:lastRenderedPageBreak/>
        <w:drawing>
          <wp:anchor distT="0" distB="0" distL="114300" distR="114300" simplePos="0" relativeHeight="251703808" behindDoc="0" locked="0"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17"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Pr>
          <w:rFonts w:cs="Times New Roman"/>
          <w:noProof/>
          <w:lang w:eastAsia="uk-UA"/>
        </w:rPr>
        <w:drawing>
          <wp:anchor distT="0" distB="0" distL="114300" distR="114300" simplePos="0" relativeHeight="251702784" behindDoc="0" locked="0"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16"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a:ln w="9525">
                      <a:noFill/>
                      <a:miter lim="800000"/>
                      <a:headEnd/>
                      <a:tailEnd/>
                    </a:ln>
                  </pic:spPr>
                </pic:pic>
              </a:graphicData>
            </a:graphic>
          </wp:anchor>
        </w:drawing>
      </w:r>
      <w:r w:rsidR="00A92639">
        <w:rPr>
          <w:rFonts w:cs="Times New Roman"/>
          <w:noProof/>
          <w:lang w:eastAsia="uk-UA"/>
        </w:rPr>
        <w:pict>
          <v:group id="Группа 144" o:spid="_x0000_s1086" style="position:absolute;margin-left:-10.05pt;margin-top:-6.7pt;width:791.8pt;height:550.55pt;z-index:251701760;mso-position-horizontal-relative:text;mso-position-vertical-relative:text" coordorigin=",1535" coordsize="100558,69926" o:regroupid="5">
            <v:group id="Группа 145" o:spid="_x0000_s1087" style="position:absolute;left:476;top:6572;width:99269;height:61379" coordsize="99269,61379">
              <v:shape id="Поле 146" o:spid="_x0000_s1088" type="#_x0000_t202" style="position:absolute;width:48025;height:61379;visibility:visible" filled="f" stroked="f" strokeweight=".5pt">
                <v:textbox style="mso-next-textbox:#Поле 22">
                  <w:txbxContent/>
                </v:textbox>
              </v:shape>
              <v:shape id="Поле 147" o:spid="_x0000_s1089" type="#_x0000_t202" style="position:absolute;left:51244;width:48025;height:61379;visibility:visible" filled="f" stroked="f" strokeweight=".5pt">
                <v:textbox style="mso-next-textbox:#Поле 95">
                  <w:txbxContent/>
                </v:textbox>
              </v:shape>
            </v:group>
            <v:group id="Группа 148" o:spid="_x0000_s1090" style="position:absolute;top:1535;width:100558;height:69927" coordorigin=",1535" coordsize="100558,69926">
              <v:group id="Группа 149" o:spid="_x0000_s1091" style="position:absolute;top:1535;width:49314;height:69927" coordorigin=",1536" coordsize="49314,69931">
                <v:group id="Группа 150" o:spid="_x0000_s1092" style="position:absolute;top:1536;width:49314;height:69819" coordorigin=",1536" coordsize="49314,69824">
                  <v:roundrect id="Скругленный прямоугольник 151" o:spid="_x0000_s1093" style="position:absolute;top:1536;width:49314;height:68778;visibility:visible;v-text-anchor:middle" arcsize="989f" filled="f" strokecolor="#bfbfbf" strokeweight="5pt">
                    <v:stroke linestyle="thinThin" joinstyle="miter"/>
                  </v:roundrect>
                  <v:oval id="Овал 153" o:spid="_x0000_s1094" style="position:absolute;left:23481;top:69128;width:2232;height:2232;visibility:visible;v-text-anchor:middle" fillcolor="#272727" stroked="f" strokeweight="2pt">
                    <v:path arrowok="t"/>
                    <o:lock v:ext="edit" aspectratio="t"/>
                  </v:oval>
                </v:group>
                <v:shape id="Поле 154" o:spid="_x0000_s1095" type="#_x0000_t202" style="position:absolute;left:22125;top:68762;width:5120;height:2705;visibility:visible" filled="f" stroked="f" strokeweight=".5pt">
                  <v:textbox style="mso-next-textbox:#Поле 154">
                    <w:txbxContent>
                      <w:p w:rsidR="003501B0" w:rsidRPr="00CA1C7A" w:rsidRDefault="0087316D" w:rsidP="005B2E53">
                        <w:pPr>
                          <w:jc w:val="center"/>
                          <w:rPr>
                            <w:rFonts w:cs="Times New Roman"/>
                            <w:b/>
                            <w:bCs/>
                            <w:color w:val="BFBFBF"/>
                          </w:rPr>
                        </w:pPr>
                        <w:r>
                          <w:rPr>
                            <w:rFonts w:cs="Times New Roman"/>
                            <w:b/>
                            <w:bCs/>
                            <w:color w:val="BFBFBF"/>
                          </w:rPr>
                          <w:t>6</w:t>
                        </w:r>
                      </w:p>
                    </w:txbxContent>
                  </v:textbox>
                </v:shape>
              </v:group>
              <v:group id="Группа 155" o:spid="_x0000_s1096" style="position:absolute;left:51244;top:1536;width:49314;height:69915" coordorigin=",1536" coordsize="49314,69920">
                <v:group id="Группа 156" o:spid="_x0000_s1097" style="position:absolute;top:1536;width:49314;height:69824" coordorigin=",1536" coordsize="49314,69824">
                  <v:roundrect id="Скругленный прямоугольник 157" o:spid="_x0000_s1098" style="position:absolute;top:1536;width:49314;height:68778;visibility:visible;v-text-anchor:middle" arcsize="989f" filled="f" strokecolor="#bfbfbf" strokeweight="5pt">
                    <v:stroke linestyle="thinThin" joinstyle="miter"/>
                  </v:roundrect>
                  <v:oval id="Овал 159" o:spid="_x0000_s1099" style="position:absolute;left:23481;top:69128;width:2232;height:2232;visibility:visible;v-text-anchor:middle" fillcolor="#272727" stroked="f" strokeweight="2pt">
                    <v:path arrowok="t"/>
                    <o:lock v:ext="edit" aspectratio="t"/>
                  </v:oval>
                </v:group>
                <v:shape id="Поле 160" o:spid="_x0000_s1100" type="#_x0000_t202" style="position:absolute;left:22658;top:68751;width:3905;height:2705;visibility:visible" filled="f" stroked="f" strokeweight=".5pt">
                  <v:textbox style="mso-next-textbox:#Поле 160">
                    <w:txbxContent>
                      <w:p w:rsidR="003501B0" w:rsidRPr="0087316D" w:rsidRDefault="0087316D" w:rsidP="005B2E53">
                        <w:pPr>
                          <w:jc w:val="center"/>
                          <w:rPr>
                            <w:b/>
                            <w:bCs/>
                            <w:color w:val="BFBFBF"/>
                          </w:rPr>
                        </w:pPr>
                        <w:r>
                          <w:rPr>
                            <w:b/>
                            <w:bCs/>
                            <w:color w:val="BFBFBF"/>
                          </w:rPr>
                          <w:t>3</w:t>
                        </w:r>
                      </w:p>
                    </w:txbxContent>
                  </v:textbox>
                </v:shape>
              </v:group>
            </v:group>
          </v:group>
        </w:pict>
      </w: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sectPr w:rsidR="00FC1ED9"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Bold">
    <w:altName w:val="Courier New"/>
    <w:charset w:val="CC"/>
    <w:family w:val="auto"/>
    <w:pitch w:val="variable"/>
    <w:sig w:usb0="00000207" w:usb1="00000001" w:usb2="00000000" w:usb3="00000000" w:csb0="00000097" w:csb1="00000000"/>
  </w:font>
  <w:font w:name="e-Ukraine">
    <w:altName w:val="Courier New"/>
    <w:charset w:val="CC"/>
    <w:family w:val="auto"/>
    <w:pitch w:val="variable"/>
    <w:sig w:usb0="00000207" w:usb1="00000001"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9A1D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F41A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06F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C72372"/>
    <w:multiLevelType w:val="hybridMultilevel"/>
    <w:tmpl w:val="1F22A8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59972E18"/>
    <w:multiLevelType w:val="hybridMultilevel"/>
    <w:tmpl w:val="FA6CB5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1DF6"/>
    <w:rsid w:val="0002421E"/>
    <w:rsid w:val="000248ED"/>
    <w:rsid w:val="0002638A"/>
    <w:rsid w:val="00033E54"/>
    <w:rsid w:val="000479B3"/>
    <w:rsid w:val="00052D05"/>
    <w:rsid w:val="000572F4"/>
    <w:rsid w:val="000627EC"/>
    <w:rsid w:val="000676D3"/>
    <w:rsid w:val="00070C50"/>
    <w:rsid w:val="00071C57"/>
    <w:rsid w:val="00073C9E"/>
    <w:rsid w:val="000802D6"/>
    <w:rsid w:val="00080354"/>
    <w:rsid w:val="00083860"/>
    <w:rsid w:val="00086AD5"/>
    <w:rsid w:val="00092687"/>
    <w:rsid w:val="00093292"/>
    <w:rsid w:val="000A16E2"/>
    <w:rsid w:val="000A5719"/>
    <w:rsid w:val="000B18C9"/>
    <w:rsid w:val="000C584A"/>
    <w:rsid w:val="000C59BA"/>
    <w:rsid w:val="000C7D9E"/>
    <w:rsid w:val="000E4D69"/>
    <w:rsid w:val="000E7558"/>
    <w:rsid w:val="000E7A8B"/>
    <w:rsid w:val="001029F3"/>
    <w:rsid w:val="001102DE"/>
    <w:rsid w:val="00111DAA"/>
    <w:rsid w:val="001124B4"/>
    <w:rsid w:val="0011267A"/>
    <w:rsid w:val="0011782B"/>
    <w:rsid w:val="00117EC8"/>
    <w:rsid w:val="00122CC9"/>
    <w:rsid w:val="0012352E"/>
    <w:rsid w:val="001243F0"/>
    <w:rsid w:val="00132CE1"/>
    <w:rsid w:val="00134E38"/>
    <w:rsid w:val="001350CE"/>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19D6"/>
    <w:rsid w:val="00282F56"/>
    <w:rsid w:val="00285722"/>
    <w:rsid w:val="00297C4E"/>
    <w:rsid w:val="002A3F45"/>
    <w:rsid w:val="002A70C8"/>
    <w:rsid w:val="002B0340"/>
    <w:rsid w:val="002B1A72"/>
    <w:rsid w:val="002B4393"/>
    <w:rsid w:val="002B621D"/>
    <w:rsid w:val="002B76BA"/>
    <w:rsid w:val="002C5612"/>
    <w:rsid w:val="002C5AAE"/>
    <w:rsid w:val="002C70B7"/>
    <w:rsid w:val="002D02CE"/>
    <w:rsid w:val="002D4FA9"/>
    <w:rsid w:val="002E5469"/>
    <w:rsid w:val="002E7E0F"/>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74EA"/>
    <w:rsid w:val="003607EC"/>
    <w:rsid w:val="00360A94"/>
    <w:rsid w:val="003648B7"/>
    <w:rsid w:val="003724C3"/>
    <w:rsid w:val="003728DD"/>
    <w:rsid w:val="00373183"/>
    <w:rsid w:val="0037512D"/>
    <w:rsid w:val="0037551C"/>
    <w:rsid w:val="00385DF1"/>
    <w:rsid w:val="003907FB"/>
    <w:rsid w:val="00394C95"/>
    <w:rsid w:val="00394F49"/>
    <w:rsid w:val="00396A67"/>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3F2C"/>
    <w:rsid w:val="004144AF"/>
    <w:rsid w:val="00415294"/>
    <w:rsid w:val="00415595"/>
    <w:rsid w:val="0042235E"/>
    <w:rsid w:val="00423AB9"/>
    <w:rsid w:val="0042693C"/>
    <w:rsid w:val="004275AB"/>
    <w:rsid w:val="004314D6"/>
    <w:rsid w:val="00432A84"/>
    <w:rsid w:val="00451282"/>
    <w:rsid w:val="004523A6"/>
    <w:rsid w:val="00456280"/>
    <w:rsid w:val="00462C01"/>
    <w:rsid w:val="00471815"/>
    <w:rsid w:val="004725AB"/>
    <w:rsid w:val="00474170"/>
    <w:rsid w:val="0047722C"/>
    <w:rsid w:val="00480081"/>
    <w:rsid w:val="0049392D"/>
    <w:rsid w:val="004968B0"/>
    <w:rsid w:val="004A123D"/>
    <w:rsid w:val="004A2F3B"/>
    <w:rsid w:val="004B0FCE"/>
    <w:rsid w:val="004B1CE5"/>
    <w:rsid w:val="004C3977"/>
    <w:rsid w:val="004C7D16"/>
    <w:rsid w:val="004E586F"/>
    <w:rsid w:val="00501DE7"/>
    <w:rsid w:val="00502591"/>
    <w:rsid w:val="00503B48"/>
    <w:rsid w:val="005060E9"/>
    <w:rsid w:val="0052185F"/>
    <w:rsid w:val="00523152"/>
    <w:rsid w:val="005406FB"/>
    <w:rsid w:val="005415EC"/>
    <w:rsid w:val="00541EB2"/>
    <w:rsid w:val="00553703"/>
    <w:rsid w:val="0055476E"/>
    <w:rsid w:val="00554C4A"/>
    <w:rsid w:val="005550AD"/>
    <w:rsid w:val="00563CB0"/>
    <w:rsid w:val="00570BDF"/>
    <w:rsid w:val="005766FB"/>
    <w:rsid w:val="0057676E"/>
    <w:rsid w:val="00582EEC"/>
    <w:rsid w:val="0058346C"/>
    <w:rsid w:val="00585AF7"/>
    <w:rsid w:val="00586C21"/>
    <w:rsid w:val="00594CA7"/>
    <w:rsid w:val="005969BB"/>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4813"/>
    <w:rsid w:val="005E6CF7"/>
    <w:rsid w:val="005E7A81"/>
    <w:rsid w:val="005F14EA"/>
    <w:rsid w:val="005F2019"/>
    <w:rsid w:val="005F3D80"/>
    <w:rsid w:val="005F7557"/>
    <w:rsid w:val="0060270F"/>
    <w:rsid w:val="00603B76"/>
    <w:rsid w:val="00603CD7"/>
    <w:rsid w:val="006051AB"/>
    <w:rsid w:val="00607557"/>
    <w:rsid w:val="00611228"/>
    <w:rsid w:val="00611AA8"/>
    <w:rsid w:val="006124D0"/>
    <w:rsid w:val="00626D76"/>
    <w:rsid w:val="00637278"/>
    <w:rsid w:val="006406C2"/>
    <w:rsid w:val="00641755"/>
    <w:rsid w:val="00642A51"/>
    <w:rsid w:val="00644F2C"/>
    <w:rsid w:val="00652CB6"/>
    <w:rsid w:val="00655BB8"/>
    <w:rsid w:val="0065664D"/>
    <w:rsid w:val="00657922"/>
    <w:rsid w:val="00657A81"/>
    <w:rsid w:val="00660250"/>
    <w:rsid w:val="00671D8D"/>
    <w:rsid w:val="00673141"/>
    <w:rsid w:val="00674319"/>
    <w:rsid w:val="006779C9"/>
    <w:rsid w:val="00680E96"/>
    <w:rsid w:val="00682982"/>
    <w:rsid w:val="0069230D"/>
    <w:rsid w:val="00693441"/>
    <w:rsid w:val="006969D3"/>
    <w:rsid w:val="006A12D2"/>
    <w:rsid w:val="006A2F44"/>
    <w:rsid w:val="006A4920"/>
    <w:rsid w:val="006A64CE"/>
    <w:rsid w:val="006B0BF2"/>
    <w:rsid w:val="006B1603"/>
    <w:rsid w:val="006B1D2B"/>
    <w:rsid w:val="006B2C9C"/>
    <w:rsid w:val="006B3A4D"/>
    <w:rsid w:val="006B4569"/>
    <w:rsid w:val="006C279B"/>
    <w:rsid w:val="006C4258"/>
    <w:rsid w:val="006C4DDE"/>
    <w:rsid w:val="006C4F69"/>
    <w:rsid w:val="006D1FA3"/>
    <w:rsid w:val="006D299A"/>
    <w:rsid w:val="006D30E8"/>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44C0A"/>
    <w:rsid w:val="00751B83"/>
    <w:rsid w:val="00756FF8"/>
    <w:rsid w:val="0076154A"/>
    <w:rsid w:val="00761CE9"/>
    <w:rsid w:val="0076414F"/>
    <w:rsid w:val="00764A12"/>
    <w:rsid w:val="0076547A"/>
    <w:rsid w:val="00777DC4"/>
    <w:rsid w:val="007828A3"/>
    <w:rsid w:val="00791143"/>
    <w:rsid w:val="00791F39"/>
    <w:rsid w:val="007928CF"/>
    <w:rsid w:val="007A1BC2"/>
    <w:rsid w:val="007A4207"/>
    <w:rsid w:val="007A70FA"/>
    <w:rsid w:val="007B0CD3"/>
    <w:rsid w:val="007B2B1C"/>
    <w:rsid w:val="007B449A"/>
    <w:rsid w:val="007B68DF"/>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25A5"/>
    <w:rsid w:val="00852B54"/>
    <w:rsid w:val="00853986"/>
    <w:rsid w:val="00853BA3"/>
    <w:rsid w:val="0085504C"/>
    <w:rsid w:val="00855F26"/>
    <w:rsid w:val="00856CCF"/>
    <w:rsid w:val="008673A2"/>
    <w:rsid w:val="00870729"/>
    <w:rsid w:val="0087316D"/>
    <w:rsid w:val="00880255"/>
    <w:rsid w:val="0088080D"/>
    <w:rsid w:val="00881578"/>
    <w:rsid w:val="00887595"/>
    <w:rsid w:val="00890F98"/>
    <w:rsid w:val="00892CFF"/>
    <w:rsid w:val="0089451F"/>
    <w:rsid w:val="008A0160"/>
    <w:rsid w:val="008A1C7F"/>
    <w:rsid w:val="008A2903"/>
    <w:rsid w:val="008A3217"/>
    <w:rsid w:val="008A48A6"/>
    <w:rsid w:val="008A5A92"/>
    <w:rsid w:val="008B2DF3"/>
    <w:rsid w:val="008D2359"/>
    <w:rsid w:val="008D3770"/>
    <w:rsid w:val="008D4AAE"/>
    <w:rsid w:val="008E0540"/>
    <w:rsid w:val="008E43E1"/>
    <w:rsid w:val="008E64A0"/>
    <w:rsid w:val="008E79B0"/>
    <w:rsid w:val="008F01AD"/>
    <w:rsid w:val="008F31DA"/>
    <w:rsid w:val="00906047"/>
    <w:rsid w:val="00907A4B"/>
    <w:rsid w:val="009104B6"/>
    <w:rsid w:val="00912FC2"/>
    <w:rsid w:val="009150FC"/>
    <w:rsid w:val="009218D8"/>
    <w:rsid w:val="00921C3A"/>
    <w:rsid w:val="00931BCA"/>
    <w:rsid w:val="009360BC"/>
    <w:rsid w:val="00937992"/>
    <w:rsid w:val="00940FD6"/>
    <w:rsid w:val="00943E3B"/>
    <w:rsid w:val="00944194"/>
    <w:rsid w:val="00950FC9"/>
    <w:rsid w:val="00960640"/>
    <w:rsid w:val="00961DA7"/>
    <w:rsid w:val="00967CE2"/>
    <w:rsid w:val="009801D1"/>
    <w:rsid w:val="00983891"/>
    <w:rsid w:val="009853EA"/>
    <w:rsid w:val="009863DA"/>
    <w:rsid w:val="009916D8"/>
    <w:rsid w:val="00994610"/>
    <w:rsid w:val="00994C69"/>
    <w:rsid w:val="0099669F"/>
    <w:rsid w:val="009A1608"/>
    <w:rsid w:val="009A31AD"/>
    <w:rsid w:val="009A6950"/>
    <w:rsid w:val="009B44C5"/>
    <w:rsid w:val="009C05E7"/>
    <w:rsid w:val="009D04F2"/>
    <w:rsid w:val="009D06E7"/>
    <w:rsid w:val="009D3104"/>
    <w:rsid w:val="009D3DDB"/>
    <w:rsid w:val="009E350B"/>
    <w:rsid w:val="009E6DE5"/>
    <w:rsid w:val="009F3D71"/>
    <w:rsid w:val="00A14E8F"/>
    <w:rsid w:val="00A2261B"/>
    <w:rsid w:val="00A23170"/>
    <w:rsid w:val="00A25956"/>
    <w:rsid w:val="00A40C24"/>
    <w:rsid w:val="00A4204E"/>
    <w:rsid w:val="00A61DC1"/>
    <w:rsid w:val="00A63DF0"/>
    <w:rsid w:val="00A66053"/>
    <w:rsid w:val="00A67C4E"/>
    <w:rsid w:val="00A70671"/>
    <w:rsid w:val="00A72321"/>
    <w:rsid w:val="00A724FF"/>
    <w:rsid w:val="00A74D80"/>
    <w:rsid w:val="00A76694"/>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4343"/>
    <w:rsid w:val="00B045B5"/>
    <w:rsid w:val="00B0600E"/>
    <w:rsid w:val="00B078CA"/>
    <w:rsid w:val="00B12BAD"/>
    <w:rsid w:val="00B17211"/>
    <w:rsid w:val="00B20773"/>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93682"/>
    <w:rsid w:val="00B96FC9"/>
    <w:rsid w:val="00BA0993"/>
    <w:rsid w:val="00BA556A"/>
    <w:rsid w:val="00BA648D"/>
    <w:rsid w:val="00BB1A54"/>
    <w:rsid w:val="00BB2B78"/>
    <w:rsid w:val="00BC0D77"/>
    <w:rsid w:val="00BC1D53"/>
    <w:rsid w:val="00BC279C"/>
    <w:rsid w:val="00BC6F41"/>
    <w:rsid w:val="00BC7E9D"/>
    <w:rsid w:val="00BD20D5"/>
    <w:rsid w:val="00BD4FC2"/>
    <w:rsid w:val="00BD718D"/>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5FA7"/>
    <w:rsid w:val="00E00D7B"/>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95784"/>
    <w:rsid w:val="00E971F0"/>
    <w:rsid w:val="00EA0713"/>
    <w:rsid w:val="00EB412E"/>
    <w:rsid w:val="00EC06AF"/>
    <w:rsid w:val="00EC40EE"/>
    <w:rsid w:val="00EC797B"/>
    <w:rsid w:val="00EE0AF6"/>
    <w:rsid w:val="00EE1F61"/>
    <w:rsid w:val="00EE3B56"/>
    <w:rsid w:val="00EE416B"/>
    <w:rsid w:val="00EE4301"/>
    <w:rsid w:val="00EF2A19"/>
    <w:rsid w:val="00F021CD"/>
    <w:rsid w:val="00F1420F"/>
    <w:rsid w:val="00F15E6C"/>
    <w:rsid w:val="00F174FD"/>
    <w:rsid w:val="00F2151A"/>
    <w:rsid w:val="00F23C7A"/>
    <w:rsid w:val="00F24D3B"/>
    <w:rsid w:val="00F24ED9"/>
    <w:rsid w:val="00F26E13"/>
    <w:rsid w:val="00F30C58"/>
    <w:rsid w:val="00F317E4"/>
    <w:rsid w:val="00F329E1"/>
    <w:rsid w:val="00F34BFC"/>
    <w:rsid w:val="00F36488"/>
    <w:rsid w:val="00F45886"/>
    <w:rsid w:val="00F4709D"/>
    <w:rsid w:val="00F55FD4"/>
    <w:rsid w:val="00F56E21"/>
    <w:rsid w:val="00F62B7F"/>
    <w:rsid w:val="00F6558B"/>
    <w:rsid w:val="00F67A1B"/>
    <w:rsid w:val="00FA61B2"/>
    <w:rsid w:val="00FB06F4"/>
    <w:rsid w:val="00FB5D82"/>
    <w:rsid w:val="00FB7A42"/>
    <w:rsid w:val="00FC1ED9"/>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egrouptable v:ext="edit">
        <o:entry new="1" old="0"/>
        <o:entry new="2" old="0"/>
        <o:entry new="3" old="0"/>
        <o:entry new="4" old="0"/>
        <o:entry new="5" old="0"/>
        <o:entry new="6" old="0"/>
        <o:entry new="7"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character" w:customStyle="1" w:styleId="10">
    <w:name w:val="Заголовок 1 Знак"/>
    <w:basedOn w:val="a0"/>
    <w:link w:val="1"/>
    <w:uiPriority w:val="99"/>
    <w:locked/>
    <w:rsid w:val="0088080D"/>
    <w:rPr>
      <w:rFonts w:cs="Times New Roman"/>
      <w:sz w:val="28"/>
      <w:szCs w:val="28"/>
      <w:lang w:val="uk-UA" w:eastAsia="ru-RU"/>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styleId="a5">
    <w:name w:val="Hyperlink"/>
    <w:basedOn w:val="a0"/>
    <w:uiPriority w:val="99"/>
    <w:semiHidden/>
    <w:rsid w:val="0037551C"/>
    <w:rPr>
      <w:rFonts w:cs="Times New Roman"/>
      <w:color w:val="0000FF"/>
      <w:u w:val="single"/>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cs="Times New Roman"/>
      <w:sz w:val="24"/>
      <w:szCs w:val="24"/>
      <w:lang w:val="uk-UA" w:eastAsia="uk-UA"/>
    </w:rPr>
  </w:style>
  <w:style w:type="character" w:styleId="a7">
    <w:name w:val="Strong"/>
    <w:basedOn w:val="a0"/>
    <w:uiPriority w:val="22"/>
    <w:qFormat/>
    <w:rsid w:val="007A1BC2"/>
    <w:rPr>
      <w:rFonts w:cs="Times New Roman"/>
      <w:b/>
      <w:bCs/>
    </w:rPr>
  </w:style>
  <w:style w:type="character" w:customStyle="1" w:styleId="rvts44">
    <w:name w:val="rvts44"/>
    <w:basedOn w:val="a0"/>
    <w:uiPriority w:val="99"/>
    <w:rsid w:val="00B619CC"/>
    <w:rPr>
      <w:rFonts w:cs="Times New Roman"/>
    </w:rPr>
  </w:style>
  <w:style w:type="character" w:customStyle="1" w:styleId="rvts23">
    <w:name w:val="rvts23"/>
    <w:basedOn w:val="a0"/>
    <w:uiPriority w:val="99"/>
    <w:rsid w:val="00B619CC"/>
    <w:rPr>
      <w:rFonts w:cs="Times New Roman"/>
    </w:rPr>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lang w:val="ru-RU" w:eastAsia="ru-RU"/>
    </w:rPr>
  </w:style>
  <w:style w:type="paragraph" w:customStyle="1" w:styleId="13">
    <w:name w:val="Без интервала1"/>
    <w:uiPriority w:val="99"/>
    <w:rsid w:val="006F59B3"/>
    <w:rPr>
      <w:rFonts w:cs="Calibri"/>
      <w:sz w:val="22"/>
      <w:szCs w:val="22"/>
      <w:lang w:val="ru-RU" w:eastAsia="ru-RU"/>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rPr>
      <w:rFonts w:cs="Times New Roman"/>
    </w:rPr>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character" w:customStyle="1" w:styleId="ab">
    <w:name w:val="Основной текст с отступом Знак"/>
    <w:basedOn w:val="a0"/>
    <w:link w:val="aa"/>
    <w:uiPriority w:val="99"/>
    <w:semiHidden/>
    <w:locked/>
    <w:rsid w:val="00BC7E9D"/>
    <w:rPr>
      <w:rFonts w:cs="Times New Roman"/>
      <w:lang w:val="uk-UA" w:eastAsia="en-US"/>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hps">
    <w:name w:val="hps"/>
    <w:basedOn w:val="a0"/>
    <w:uiPriority w:val="99"/>
    <w:rsid w:val="005060E9"/>
    <w:rPr>
      <w:rFonts w:cs="Times New Roman"/>
    </w:rPr>
  </w:style>
  <w:style w:type="character" w:customStyle="1" w:styleId="ae">
    <w:name w:val="Основной текст Знак"/>
    <w:basedOn w:val="a0"/>
    <w:link w:val="ad"/>
    <w:uiPriority w:val="99"/>
    <w:semiHidden/>
    <w:locked/>
    <w:rsid w:val="005060E9"/>
    <w:rPr>
      <w:rFonts w:cs="Times New Roman"/>
      <w:sz w:val="22"/>
      <w:szCs w:val="22"/>
      <w:lang w:val="uk-UA" w:eastAsia="en-US"/>
    </w:rPr>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szCs w:val="20"/>
      <w:lang w:eastAsia="ru-RU"/>
    </w:rPr>
  </w:style>
  <w:style w:type="character" w:customStyle="1" w:styleId="af1">
    <w:name w:val="Нормальний текст Знак"/>
    <w:link w:val="af0"/>
    <w:uiPriority w:val="99"/>
    <w:locked/>
    <w:rsid w:val="0049392D"/>
    <w:rPr>
      <w:rFonts w:ascii="Antiqua" w:hAnsi="Antiqua"/>
      <w:sz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cs="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ascii="Times New Roman" w:hAnsi="Times New Roman"/>
      <w:color w:val="000000"/>
      <w:sz w:val="24"/>
      <w:szCs w:val="24"/>
      <w:lang w:val="ru-RU" w:eastAsia="ru-RU"/>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rsid w:val="007019C0"/>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basedOn w:val="a0"/>
    <w:rsid w:val="00611228"/>
  </w:style>
</w:styles>
</file>

<file path=word/webSettings.xml><?xml version="1.0" encoding="utf-8"?>
<w:webSettings xmlns:r="http://schemas.openxmlformats.org/officeDocument/2006/relationships" xmlns:w="http://schemas.openxmlformats.org/wordprocessingml/2006/main">
  <w:divs>
    <w:div w:id="1656447674">
      <w:marLeft w:val="0"/>
      <w:marRight w:val="0"/>
      <w:marTop w:val="0"/>
      <w:marBottom w:val="0"/>
      <w:divBdr>
        <w:top w:val="none" w:sz="0" w:space="0" w:color="auto"/>
        <w:left w:val="none" w:sz="0" w:space="0" w:color="auto"/>
        <w:bottom w:val="none" w:sz="0" w:space="0" w:color="auto"/>
        <w:right w:val="none" w:sz="0" w:space="0" w:color="auto"/>
      </w:divBdr>
    </w:div>
    <w:div w:id="1656447675">
      <w:marLeft w:val="0"/>
      <w:marRight w:val="0"/>
      <w:marTop w:val="0"/>
      <w:marBottom w:val="0"/>
      <w:divBdr>
        <w:top w:val="none" w:sz="0" w:space="0" w:color="auto"/>
        <w:left w:val="none" w:sz="0" w:space="0" w:color="auto"/>
        <w:bottom w:val="none" w:sz="0" w:space="0" w:color="auto"/>
        <w:right w:val="none" w:sz="0" w:space="0" w:color="auto"/>
      </w:divBdr>
    </w:div>
    <w:div w:id="1656447676">
      <w:marLeft w:val="0"/>
      <w:marRight w:val="0"/>
      <w:marTop w:val="0"/>
      <w:marBottom w:val="0"/>
      <w:divBdr>
        <w:top w:val="none" w:sz="0" w:space="0" w:color="auto"/>
        <w:left w:val="none" w:sz="0" w:space="0" w:color="auto"/>
        <w:bottom w:val="none" w:sz="0" w:space="0" w:color="auto"/>
        <w:right w:val="none" w:sz="0" w:space="0" w:color="auto"/>
      </w:divBdr>
    </w:div>
    <w:div w:id="1656447677">
      <w:marLeft w:val="0"/>
      <w:marRight w:val="0"/>
      <w:marTop w:val="0"/>
      <w:marBottom w:val="0"/>
      <w:divBdr>
        <w:top w:val="none" w:sz="0" w:space="0" w:color="auto"/>
        <w:left w:val="none" w:sz="0" w:space="0" w:color="auto"/>
        <w:bottom w:val="none" w:sz="0" w:space="0" w:color="auto"/>
        <w:right w:val="none" w:sz="0" w:space="0" w:color="auto"/>
      </w:divBdr>
    </w:div>
    <w:div w:id="1656447678">
      <w:marLeft w:val="0"/>
      <w:marRight w:val="0"/>
      <w:marTop w:val="0"/>
      <w:marBottom w:val="0"/>
      <w:divBdr>
        <w:top w:val="none" w:sz="0" w:space="0" w:color="auto"/>
        <w:left w:val="none" w:sz="0" w:space="0" w:color="auto"/>
        <w:bottom w:val="none" w:sz="0" w:space="0" w:color="auto"/>
        <w:right w:val="none" w:sz="0" w:space="0" w:color="auto"/>
      </w:divBdr>
    </w:div>
    <w:div w:id="1656447679">
      <w:marLeft w:val="0"/>
      <w:marRight w:val="0"/>
      <w:marTop w:val="0"/>
      <w:marBottom w:val="0"/>
      <w:divBdr>
        <w:top w:val="none" w:sz="0" w:space="0" w:color="auto"/>
        <w:left w:val="none" w:sz="0" w:space="0" w:color="auto"/>
        <w:bottom w:val="none" w:sz="0" w:space="0" w:color="auto"/>
        <w:right w:val="none" w:sz="0" w:space="0" w:color="auto"/>
      </w:divBdr>
    </w:div>
    <w:div w:id="1656447680">
      <w:marLeft w:val="0"/>
      <w:marRight w:val="0"/>
      <w:marTop w:val="0"/>
      <w:marBottom w:val="0"/>
      <w:divBdr>
        <w:top w:val="none" w:sz="0" w:space="0" w:color="auto"/>
        <w:left w:val="none" w:sz="0" w:space="0" w:color="auto"/>
        <w:bottom w:val="none" w:sz="0" w:space="0" w:color="auto"/>
        <w:right w:val="none" w:sz="0" w:space="0" w:color="auto"/>
      </w:divBdr>
    </w:div>
    <w:div w:id="1656447681">
      <w:marLeft w:val="0"/>
      <w:marRight w:val="0"/>
      <w:marTop w:val="0"/>
      <w:marBottom w:val="0"/>
      <w:divBdr>
        <w:top w:val="none" w:sz="0" w:space="0" w:color="auto"/>
        <w:left w:val="none" w:sz="0" w:space="0" w:color="auto"/>
        <w:bottom w:val="none" w:sz="0" w:space="0" w:color="auto"/>
        <w:right w:val="none" w:sz="0" w:space="0" w:color="auto"/>
      </w:divBdr>
    </w:div>
    <w:div w:id="1656447682">
      <w:marLeft w:val="0"/>
      <w:marRight w:val="0"/>
      <w:marTop w:val="0"/>
      <w:marBottom w:val="0"/>
      <w:divBdr>
        <w:top w:val="none" w:sz="0" w:space="0" w:color="auto"/>
        <w:left w:val="none" w:sz="0" w:space="0" w:color="auto"/>
        <w:bottom w:val="none" w:sz="0" w:space="0" w:color="auto"/>
        <w:right w:val="none" w:sz="0" w:space="0" w:color="auto"/>
      </w:divBdr>
    </w:div>
    <w:div w:id="1656447683">
      <w:marLeft w:val="0"/>
      <w:marRight w:val="0"/>
      <w:marTop w:val="0"/>
      <w:marBottom w:val="0"/>
      <w:divBdr>
        <w:top w:val="none" w:sz="0" w:space="0" w:color="auto"/>
        <w:left w:val="none" w:sz="0" w:space="0" w:color="auto"/>
        <w:bottom w:val="none" w:sz="0" w:space="0" w:color="auto"/>
        <w:right w:val="none" w:sz="0" w:space="0" w:color="auto"/>
      </w:divBdr>
    </w:div>
    <w:div w:id="1656447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B573C-C8DD-4002-8E65-F16A8013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61</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Links>
    <vt:vector size="18" baseType="variant">
      <vt:variant>
        <vt:i4>8323179</vt:i4>
      </vt:variant>
      <vt:variant>
        <vt:i4>6</vt:i4>
      </vt:variant>
      <vt:variant>
        <vt:i4>0</vt:i4>
      </vt:variant>
      <vt:variant>
        <vt:i4>5</vt:i4>
      </vt:variant>
      <vt:variant>
        <vt:lpwstr>http://acskidd.gov.ua/</vt:lpwstr>
      </vt:variant>
      <vt:variant>
        <vt:lpwstr/>
      </vt:variant>
      <vt:variant>
        <vt:i4>7077990</vt:i4>
      </vt:variant>
      <vt:variant>
        <vt:i4>3</vt:i4>
      </vt:variant>
      <vt:variant>
        <vt:i4>0</vt:i4>
      </vt:variant>
      <vt:variant>
        <vt:i4>5</vt:i4>
      </vt:variant>
      <vt:variant>
        <vt:lpwstr>http://tax.gov.ua/</vt:lpwstr>
      </vt:variant>
      <vt:variant>
        <vt:lpwstr/>
      </vt:variant>
      <vt:variant>
        <vt:i4>3997747</vt:i4>
      </vt:variant>
      <vt:variant>
        <vt:i4>0</vt:i4>
      </vt:variant>
      <vt:variant>
        <vt:i4>0</vt:i4>
      </vt:variant>
      <vt:variant>
        <vt:i4>5</vt:i4>
      </vt:variant>
      <vt:variant>
        <vt:lpwstr>https://cabinet.tax.gov.ua/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Z53166</cp:lastModifiedBy>
  <cp:revision>4</cp:revision>
  <cp:lastPrinted>2021-08-13T12:28:00Z</cp:lastPrinted>
  <dcterms:created xsi:type="dcterms:W3CDTF">2021-09-30T12:50:00Z</dcterms:created>
  <dcterms:modified xsi:type="dcterms:W3CDTF">2021-09-30T13:57:00Z</dcterms:modified>
</cp:coreProperties>
</file>