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1A" w:rsidRPr="006F432D" w:rsidRDefault="006A731A" w:rsidP="006A731A">
      <w:pPr>
        <w:spacing w:line="360" w:lineRule="auto"/>
        <w:jc w:val="both"/>
        <w:rPr>
          <w:rFonts w:ascii="e-Ukraine" w:eastAsia="Times New Roman" w:hAnsi="e-Ukraine" w:cs="Calibri"/>
          <w:color w:val="000000"/>
          <w:sz w:val="28"/>
          <w:szCs w:val="28"/>
        </w:rPr>
      </w:pPr>
      <w:r>
        <w:rPr>
          <w:rFonts w:ascii="e-Ukraine" w:eastAsia="Times New Roman" w:hAnsi="e-Ukraine" w:cs="Calibri"/>
          <w:noProof/>
          <w:color w:val="000000"/>
          <w:sz w:val="28"/>
          <w:szCs w:val="28"/>
          <w:lang w:eastAsia="uk-UA"/>
        </w:rPr>
        <w:pict>
          <v:roundrect id="_x0000_s1057" style="position:absolute;left:0;text-align:left;margin-left:-10.6pt;margin-top:-9.35pt;width:257.15pt;height:562.65pt;z-index:251668480;visibility:visible;v-text-anchor:middle" arcsize="989f" filled="f" strokecolor="navy" strokeweight="5pt">
            <v:stroke linestyle="thinThin" joinstyle="miter"/>
          </v:roundrect>
        </w:pict>
      </w:r>
      <w:r w:rsidRPr="006F432D">
        <w:rPr>
          <w:rFonts w:ascii="e-Ukraine" w:eastAsia="Times New Roman" w:hAnsi="e-Ukraine" w:cs="Calibri"/>
          <w:color w:val="000000"/>
          <w:sz w:val="28"/>
          <w:szCs w:val="28"/>
        </w:rPr>
        <w:t>внесення чи видача не пов’язані з проведенням розрахункових операцій. Крім того, операція «службове внесення» використовується для реєстрації суми готівки, яка зберігається на місці проведення розрахунків на момент реєстрації першої розрахункової операції, що проводиться після виконання щоденного фіскального звітного чеку (Z-звіту).</w:t>
      </w:r>
    </w:p>
    <w:p w:rsidR="006A731A" w:rsidRPr="006F432D" w:rsidRDefault="006A731A" w:rsidP="006A731A">
      <w:pPr>
        <w:spacing w:line="360" w:lineRule="auto"/>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Не проводиться через РРО видача готівки, не пов’язана з проведенням розрахунків, якщо така видача здійснюється після виконання Z-звіту до реєстрації першої розрахункової операції та (або) до виконання операції «службове внесення».</w:t>
      </w:r>
    </w:p>
    <w:p w:rsidR="006A731A" w:rsidRPr="006F432D" w:rsidRDefault="006A731A" w:rsidP="006A731A">
      <w:pPr>
        <w:spacing w:line="360" w:lineRule="auto"/>
        <w:ind w:firstLine="709"/>
        <w:jc w:val="both"/>
        <w:rPr>
          <w:rFonts w:ascii="e-Ukraine" w:eastAsia="Times New Roman" w:hAnsi="e-Ukraine" w:cs="Calibri"/>
          <w:color w:val="000000"/>
          <w:sz w:val="28"/>
          <w:szCs w:val="28"/>
        </w:rPr>
      </w:pPr>
      <w:r>
        <w:rPr>
          <w:rFonts w:ascii="e-Ukraine" w:eastAsia="Times New Roman" w:hAnsi="e-Ukraine" w:cs="Calibri"/>
          <w:noProof/>
          <w:color w:val="000000"/>
          <w:sz w:val="28"/>
          <w:szCs w:val="28"/>
          <w:lang w:eastAsia="uk-UA"/>
        </w:rPr>
        <w:lastRenderedPageBreak/>
        <w:pict>
          <v:roundrect id="_x0000_s1056" style="position:absolute;left:0;text-align:left;margin-left:-8.75pt;margin-top:-9.35pt;width:257.15pt;height:562.65pt;z-index:251667456;visibility:visible;v-text-anchor:middle" arcsize="989f" filled="f" strokecolor="navy" strokeweight="5pt">
            <v:stroke linestyle="thinThin" joinstyle="miter"/>
          </v:roundrect>
        </w:pict>
      </w:r>
      <w:r w:rsidRPr="006F432D">
        <w:rPr>
          <w:rFonts w:ascii="e-Ukraine" w:eastAsia="Times New Roman" w:hAnsi="e-Ukraine" w:cs="Calibri"/>
          <w:color w:val="000000"/>
          <w:sz w:val="28"/>
          <w:szCs w:val="28"/>
        </w:rPr>
        <w:t>Тобто, розмінна монета, отримана з каси підприємства, або яка зберігається на місці проведення розрахунків РРО та/або ПРРО з попереднього дня, має проводитися через РРО та/або ПРРО за допомогою формування чеку «Службове внесення».</w:t>
      </w:r>
    </w:p>
    <w:p w:rsidR="006A731A" w:rsidRPr="006F432D" w:rsidRDefault="006A731A" w:rsidP="006A731A">
      <w:pPr>
        <w:spacing w:line="360" w:lineRule="auto"/>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Підтвердженням внесення відповідної суми до РРО та/або ПРРО, як розмінної монети, – є фіскальний звітний чек (Z-звіт), у якому відображається інформація про операцію «службове внесення».</w:t>
      </w:r>
    </w:p>
    <w:p w:rsidR="006A731A" w:rsidRDefault="006A731A" w:rsidP="006A731A">
      <w:pPr>
        <w:spacing w:line="360" w:lineRule="auto"/>
        <w:rPr>
          <w:rFonts w:eastAsia="Times New Roman"/>
          <w:color w:val="000000"/>
          <w:sz w:val="22"/>
          <w:szCs w:val="22"/>
          <w:lang w:eastAsia="uk-UA"/>
        </w:rPr>
      </w:pPr>
    </w:p>
    <w:p w:rsidR="006A731A" w:rsidRDefault="002B55CF" w:rsidP="000C2217">
      <w:pPr>
        <w:spacing w:line="360" w:lineRule="auto"/>
      </w:pPr>
      <w:r>
        <w:rPr>
          <w:rFonts w:ascii="e-Ukraine" w:eastAsia="Times New Roman" w:hAnsi="e-Ukraine" w:cs="Calibri"/>
          <w:i/>
          <w:noProof/>
          <w:color w:val="000000"/>
          <w:sz w:val="28"/>
          <w:szCs w:val="28"/>
          <w:lang w:eastAsia="uk-UA"/>
        </w:rPr>
        <w:pict>
          <v:shapetype id="_x0000_t202" coordsize="21600,21600" o:spt="202" path="m,l,21600r21600,l21600,xe">
            <v:stroke joinstyle="miter"/>
            <v:path gradientshapeok="t" o:connecttype="rect"/>
          </v:shapetype>
          <v:shape id="Поле 10" o:spid="_x0000_s1059" type="#_x0000_t202" style="position:absolute;margin-left:-8.75pt;margin-top:24.3pt;width:253.6pt;height:47.9pt;z-index:251670528;visibility:visible" fillcolor="#0070c0" stroked="f" strokeweight=".5pt">
            <v:textbox style="mso-next-textbox:#Поле 10">
              <w:txbxContent>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u w:val="single"/>
                    </w:rPr>
                  </w:pPr>
                  <w:r w:rsidRPr="002B55CF">
                    <w:rPr>
                      <w:rStyle w:val="a7"/>
                      <w:rFonts w:ascii="e-Ukraine" w:hAnsi="e-Ukraine"/>
                      <w:b w:val="0"/>
                      <w:bCs w:val="0"/>
                      <w:color w:val="FFFFFF"/>
                      <w:spacing w:val="-4"/>
                      <w:sz w:val="12"/>
                      <w:szCs w:val="12"/>
                    </w:rPr>
                    <w:t xml:space="preserve">Офіційний </w:t>
                  </w:r>
                  <w:proofErr w:type="spellStart"/>
                  <w:r w:rsidRPr="002B55CF">
                    <w:rPr>
                      <w:rStyle w:val="a7"/>
                      <w:rFonts w:ascii="e-Ukraine" w:hAnsi="e-Ukraine"/>
                      <w:b w:val="0"/>
                      <w:bCs w:val="0"/>
                      <w:color w:val="FFFFFF"/>
                      <w:spacing w:val="-4"/>
                      <w:sz w:val="12"/>
                      <w:szCs w:val="12"/>
                    </w:rPr>
                    <w:t>вебпортал</w:t>
                  </w:r>
                  <w:proofErr w:type="spellEnd"/>
                  <w:r w:rsidRPr="002B55CF">
                    <w:rPr>
                      <w:rStyle w:val="a7"/>
                      <w:rFonts w:ascii="e-Ukraine" w:hAnsi="e-Ukraine"/>
                      <w:b w:val="0"/>
                      <w:bCs w:val="0"/>
                      <w:color w:val="FFFFFF"/>
                      <w:spacing w:val="-4"/>
                      <w:sz w:val="12"/>
                      <w:szCs w:val="12"/>
                    </w:rPr>
                    <w:t xml:space="preserve"> Державної податкової служби України: </w:t>
                  </w:r>
                  <w:r w:rsidRPr="002B55CF">
                    <w:rPr>
                      <w:rStyle w:val="a7"/>
                      <w:rFonts w:ascii="e-Ukraine" w:hAnsi="e-Ukraine"/>
                      <w:b w:val="0"/>
                      <w:bCs w:val="0"/>
                      <w:color w:val="FFFFFF"/>
                      <w:spacing w:val="-4"/>
                      <w:sz w:val="12"/>
                      <w:szCs w:val="12"/>
                      <w:lang w:val="en-US"/>
                    </w:rPr>
                    <w:t>tax</w:t>
                  </w:r>
                  <w:proofErr w:type="spellStart"/>
                  <w:r w:rsidRPr="002B55CF">
                    <w:rPr>
                      <w:rStyle w:val="a7"/>
                      <w:rFonts w:ascii="e-Ukraine" w:hAnsi="e-Ukraine"/>
                      <w:b w:val="0"/>
                      <w:bCs w:val="0"/>
                      <w:color w:val="FFFFFF"/>
                      <w:spacing w:val="-4"/>
                      <w:sz w:val="12"/>
                      <w:szCs w:val="12"/>
                      <w:u w:val="single"/>
                    </w:rPr>
                    <w:t>.gov.ua</w:t>
                  </w:r>
                  <w:proofErr w:type="spellEnd"/>
                  <w:r w:rsidRPr="002B55CF">
                    <w:rPr>
                      <w:rStyle w:val="a7"/>
                      <w:rFonts w:ascii="e-Ukraine" w:hAnsi="e-Ukraine"/>
                      <w:b w:val="0"/>
                      <w:bCs w:val="0"/>
                      <w:color w:val="FFFFFF"/>
                      <w:spacing w:val="-4"/>
                      <w:sz w:val="12"/>
                      <w:szCs w:val="12"/>
                      <w:u w:val="single"/>
                    </w:rPr>
                    <w:t>.</w:t>
                  </w:r>
                </w:p>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rPr>
                  </w:pPr>
                  <w:r w:rsidRPr="002B55CF">
                    <w:rPr>
                      <w:rStyle w:val="a7"/>
                      <w:rFonts w:ascii="e-Ukraine" w:hAnsi="e-Ukraine"/>
                      <w:b w:val="0"/>
                      <w:bCs w:val="0"/>
                      <w:color w:val="FFFFFF"/>
                      <w:spacing w:val="-4"/>
                      <w:sz w:val="12"/>
                      <w:szCs w:val="12"/>
                    </w:rPr>
                    <w:t>Інформаційно-довідковий департамент  ДПС України: 0-800-501-007 .</w:t>
                  </w:r>
                </w:p>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lang w:val="ru-RU"/>
                    </w:rPr>
                  </w:pPr>
                  <w:r w:rsidRPr="002B55CF">
                    <w:rPr>
                      <w:rStyle w:val="a7"/>
                      <w:rFonts w:ascii="e-Ukraine" w:hAnsi="e-Ukraine"/>
                      <w:b w:val="0"/>
                      <w:bCs w:val="0"/>
                      <w:color w:val="FFFFFF"/>
                      <w:spacing w:val="-4"/>
                      <w:sz w:val="12"/>
                      <w:szCs w:val="12"/>
                    </w:rPr>
                    <w:t xml:space="preserve">"Гаряча лінія" ДПС України: "Пульс": </w:t>
                  </w:r>
                  <w:r w:rsidRPr="002B55CF">
                    <w:rPr>
                      <w:rStyle w:val="a7"/>
                      <w:rFonts w:ascii="e-Ukraine" w:hAnsi="e-Ukraine"/>
                      <w:b w:val="0"/>
                      <w:bCs w:val="0"/>
                      <w:color w:val="FFFFFF"/>
                      <w:spacing w:val="-4"/>
                      <w:sz w:val="12"/>
                      <w:szCs w:val="12"/>
                      <w:lang w:val="ru-RU"/>
                    </w:rPr>
                    <w:t>0-800-501-007  (</w:t>
                  </w:r>
                  <w:proofErr w:type="spellStart"/>
                  <w:r w:rsidRPr="002B55CF">
                    <w:rPr>
                      <w:rStyle w:val="a7"/>
                      <w:rFonts w:ascii="e-Ukraine" w:hAnsi="e-Ukraine"/>
                      <w:b w:val="0"/>
                      <w:bCs w:val="0"/>
                      <w:color w:val="FFFFFF"/>
                      <w:spacing w:val="-4"/>
                      <w:sz w:val="12"/>
                      <w:szCs w:val="12"/>
                      <w:lang w:val="ru-RU"/>
                    </w:rPr>
                    <w:t>напрямок</w:t>
                  </w:r>
                  <w:proofErr w:type="spellEnd"/>
                  <w:r w:rsidRPr="002B55CF">
                    <w:rPr>
                      <w:rStyle w:val="a7"/>
                      <w:rFonts w:ascii="e-Ukraine" w:hAnsi="e-Ukraine"/>
                      <w:b w:val="0"/>
                      <w:bCs w:val="0"/>
                      <w:color w:val="FFFFFF"/>
                      <w:spacing w:val="-4"/>
                      <w:sz w:val="12"/>
                      <w:szCs w:val="12"/>
                      <w:lang w:val="ru-RU"/>
                    </w:rPr>
                    <w:t xml:space="preserve">  «4»)</w:t>
                  </w:r>
                </w:p>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lang w:val="ru-RU"/>
                    </w:rPr>
                  </w:pPr>
                  <w:r w:rsidRPr="002B55CF">
                    <w:rPr>
                      <w:rStyle w:val="a7"/>
                      <w:rFonts w:ascii="e-Ukraine" w:hAnsi="e-Ukraine"/>
                      <w:b w:val="0"/>
                      <w:bCs w:val="0"/>
                      <w:color w:val="FFFFFF"/>
                      <w:spacing w:val="-4"/>
                      <w:sz w:val="12"/>
                      <w:szCs w:val="12"/>
                    </w:rPr>
                    <w:t>Кваліфікований надавач електронних довірчих послуг</w:t>
                  </w:r>
                  <w:r w:rsidRPr="002B55CF">
                    <w:rPr>
                      <w:rStyle w:val="a7"/>
                      <w:rFonts w:ascii="e-Ukraine" w:hAnsi="e-Ukraine"/>
                      <w:b w:val="0"/>
                      <w:bCs w:val="0"/>
                      <w:color w:val="FFFFFF"/>
                      <w:spacing w:val="-4"/>
                      <w:sz w:val="12"/>
                      <w:szCs w:val="12"/>
                      <w:lang w:val="ru-RU"/>
                    </w:rPr>
                    <w:t>: 0-800-501-007 (</w:t>
                  </w:r>
                  <w:proofErr w:type="spellStart"/>
                  <w:r w:rsidRPr="002B55CF">
                    <w:rPr>
                      <w:rStyle w:val="a7"/>
                      <w:rFonts w:ascii="e-Ukraine" w:hAnsi="e-Ukraine"/>
                      <w:b w:val="0"/>
                      <w:bCs w:val="0"/>
                      <w:color w:val="FFFFFF"/>
                      <w:spacing w:val="-4"/>
                      <w:sz w:val="12"/>
                      <w:szCs w:val="12"/>
                      <w:lang w:val="ru-RU"/>
                    </w:rPr>
                    <w:t>напрямок</w:t>
                  </w:r>
                  <w:proofErr w:type="spellEnd"/>
                  <w:r w:rsidRPr="002B55CF">
                    <w:rPr>
                      <w:rStyle w:val="a7"/>
                      <w:rFonts w:ascii="e-Ukraine" w:hAnsi="e-Ukraine"/>
                      <w:b w:val="0"/>
                      <w:bCs w:val="0"/>
                      <w:color w:val="FFFFFF"/>
                      <w:spacing w:val="-4"/>
                      <w:sz w:val="12"/>
                      <w:szCs w:val="12"/>
                      <w:lang w:val="ru-RU"/>
                    </w:rPr>
                    <w:t xml:space="preserve"> «2»)</w:t>
                  </w:r>
                </w:p>
              </w:txbxContent>
            </v:textbox>
          </v:shape>
        </w:pict>
      </w:r>
    </w:p>
    <w:p w:rsidR="006A731A" w:rsidRDefault="006A731A" w:rsidP="000C2217">
      <w:pPr>
        <w:spacing w:line="360" w:lineRule="auto"/>
      </w:pPr>
    </w:p>
    <w:p w:rsidR="006A731A" w:rsidRDefault="006A731A" w:rsidP="000C2217">
      <w:pPr>
        <w:spacing w:line="360" w:lineRule="auto"/>
      </w:pPr>
      <w:r>
        <w:rPr>
          <w:rFonts w:ascii="e-Ukraine" w:hAnsi="e-Ukraine" w:cs="Arial"/>
          <w:bCs/>
          <w:noProof/>
          <w:color w:val="1D1D1B"/>
          <w:sz w:val="28"/>
          <w:szCs w:val="28"/>
          <w:lang w:eastAsia="uk-UA"/>
        </w:rPr>
        <w:lastRenderedPageBreak/>
        <w:drawing>
          <wp:inline distT="0" distB="0" distL="0" distR="0">
            <wp:extent cx="3113764" cy="723319"/>
            <wp:effectExtent l="19050" t="0" r="0" b="0"/>
            <wp:docPr id="2" name="Рисунок 1" descr="Logo_DPS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PSMain(1)"/>
                    <pic:cNvPicPr>
                      <a:picLocks noChangeAspect="1" noChangeArrowheads="1"/>
                    </pic:cNvPicPr>
                  </pic:nvPicPr>
                  <pic:blipFill>
                    <a:blip r:embed="rId4" cstate="print"/>
                    <a:srcRect/>
                    <a:stretch>
                      <a:fillRect/>
                    </a:stretch>
                  </pic:blipFill>
                  <pic:spPr bwMode="auto">
                    <a:xfrm>
                      <a:off x="0" y="0"/>
                      <a:ext cx="3120604" cy="724908"/>
                    </a:xfrm>
                    <a:prstGeom prst="rect">
                      <a:avLst/>
                    </a:prstGeom>
                    <a:noFill/>
                    <a:ln w="9525">
                      <a:noFill/>
                      <a:miter lim="800000"/>
                      <a:headEnd/>
                      <a:tailEnd/>
                    </a:ln>
                  </pic:spPr>
                </pic:pic>
              </a:graphicData>
            </a:graphic>
          </wp:inline>
        </w:drawing>
      </w:r>
      <w:r w:rsidRPr="001A7941">
        <w:rPr>
          <w:rFonts w:ascii="e-Ukraine" w:hAnsi="e-Ukraine" w:cs="Arial"/>
          <w:bCs/>
          <w:noProof/>
          <w:color w:val="1D1D1B"/>
          <w:sz w:val="28"/>
          <w:szCs w:val="28"/>
          <w:lang w:eastAsia="uk-UA"/>
        </w:rPr>
        <w:pict>
          <v:roundrect id="_x0000_s1038" style="position:absolute;margin-left:-6.5pt;margin-top:-9.35pt;width:257.15pt;height:562.65pt;z-index:251661312;visibility:visible;mso-position-horizontal-relative:text;mso-position-vertical-relative:text;v-text-anchor:middle" arcsize="989f" filled="f" strokecolor="navy" strokeweight="5pt">
            <v:stroke linestyle="thinThin" joinstyle="miter"/>
          </v:roundrect>
        </w:pict>
      </w:r>
    </w:p>
    <w:p w:rsidR="0071484B" w:rsidRDefault="006A731A" w:rsidP="000C2217">
      <w:pPr>
        <w:spacing w:line="360" w:lineRule="auto"/>
      </w:pPr>
      <w:r>
        <w:rPr>
          <w:b/>
          <w:noProof/>
          <w:lang w:eastAsia="uk-UA"/>
        </w:rPr>
        <w:pict>
          <v:shape id="Поле 21" o:spid="_x0000_s1058" type="#_x0000_t202" style="position:absolute;margin-left:-6.5pt;margin-top:11.05pt;width:255.6pt;height:45.15pt;z-index:251669504;visibility:visible" filled="f" stroked="f" strokeweight=".5pt">
            <v:textbox style="mso-next-textbox:#Поле 21">
              <w:txbxContent>
                <w:p w:rsidR="006A731A" w:rsidRPr="006C0696" w:rsidRDefault="006A731A" w:rsidP="006A731A">
                  <w:pPr>
                    <w:spacing w:after="0" w:line="240" w:lineRule="auto"/>
                    <w:rPr>
                      <w:rFonts w:ascii="e-Ukraine" w:hAnsi="e-Ukraine"/>
                      <w:bCs/>
                      <w:sz w:val="6"/>
                      <w:szCs w:val="6"/>
                    </w:rPr>
                  </w:pPr>
                </w:p>
                <w:p w:rsidR="006A731A" w:rsidRPr="006C0696" w:rsidRDefault="006A731A" w:rsidP="006A731A">
                  <w:pPr>
                    <w:spacing w:after="0" w:line="240" w:lineRule="auto"/>
                    <w:jc w:val="center"/>
                    <w:rPr>
                      <w:rFonts w:ascii="e-Ukraine" w:hAnsi="e-Ukraine"/>
                      <w:bCs/>
                      <w:sz w:val="32"/>
                      <w:szCs w:val="32"/>
                    </w:rPr>
                  </w:pPr>
                  <w:r w:rsidRPr="006C0696">
                    <w:rPr>
                      <w:rFonts w:ascii="e-Ukraine" w:hAnsi="e-Ukraine"/>
                      <w:bCs/>
                      <w:sz w:val="32"/>
                      <w:szCs w:val="32"/>
                    </w:rPr>
                    <w:t>Головне управління ДПС у</w:t>
                  </w:r>
                </w:p>
                <w:p w:rsidR="006A731A" w:rsidRPr="006C0696" w:rsidRDefault="006A731A" w:rsidP="006A731A">
                  <w:pPr>
                    <w:spacing w:after="0" w:line="240" w:lineRule="auto"/>
                    <w:jc w:val="center"/>
                    <w:rPr>
                      <w:rFonts w:ascii="e-Ukraine" w:hAnsi="e-Ukraine"/>
                      <w:sz w:val="32"/>
                      <w:szCs w:val="32"/>
                    </w:rPr>
                  </w:pPr>
                  <w:r w:rsidRPr="006C0696">
                    <w:rPr>
                      <w:rFonts w:ascii="e-Ukraine" w:hAnsi="e-Ukraine"/>
                      <w:bCs/>
                      <w:sz w:val="32"/>
                      <w:szCs w:val="32"/>
                    </w:rPr>
                    <w:t>Дніпропетровській області</w:t>
                  </w:r>
                </w:p>
              </w:txbxContent>
            </v:textbox>
          </v:shape>
        </w:pict>
      </w:r>
    </w:p>
    <w:p w:rsidR="00EB5AC9" w:rsidRDefault="00EB5AC9" w:rsidP="000C2217">
      <w:pPr>
        <w:spacing w:line="360" w:lineRule="auto"/>
        <w:rPr>
          <w:b/>
        </w:rPr>
      </w:pPr>
    </w:p>
    <w:p w:rsidR="006A731A" w:rsidRDefault="006A731A" w:rsidP="000C2217">
      <w:pPr>
        <w:spacing w:line="360" w:lineRule="auto"/>
        <w:jc w:val="center"/>
        <w:rPr>
          <w:rFonts w:ascii="e-Ukraine Light Cyr" w:eastAsia="Times New Roman" w:hAnsi="e-Ukraine Light Cyr" w:cs="Calibri"/>
          <w:b/>
          <w:color w:val="auto"/>
          <w:sz w:val="40"/>
          <w:szCs w:val="40"/>
        </w:rPr>
      </w:pPr>
    </w:p>
    <w:p w:rsidR="006A731A" w:rsidRDefault="006A731A" w:rsidP="000C2217">
      <w:pPr>
        <w:spacing w:line="360" w:lineRule="auto"/>
        <w:jc w:val="center"/>
        <w:rPr>
          <w:rFonts w:ascii="e-Ukraine Light Cyr" w:eastAsia="Times New Roman" w:hAnsi="e-Ukraine Light Cyr" w:cs="Calibri"/>
          <w:b/>
          <w:color w:val="auto"/>
          <w:sz w:val="40"/>
          <w:szCs w:val="40"/>
        </w:rPr>
      </w:pPr>
    </w:p>
    <w:p w:rsidR="006A731A" w:rsidRDefault="006A731A" w:rsidP="000C2217">
      <w:pPr>
        <w:spacing w:line="360" w:lineRule="auto"/>
        <w:jc w:val="center"/>
        <w:rPr>
          <w:rFonts w:ascii="e-Ukraine Light Cyr" w:eastAsia="Times New Roman" w:hAnsi="e-Ukraine Light Cyr" w:cs="Calibri"/>
          <w:b/>
          <w:color w:val="auto"/>
          <w:sz w:val="40"/>
          <w:szCs w:val="40"/>
        </w:rPr>
      </w:pPr>
    </w:p>
    <w:p w:rsidR="00D312AE" w:rsidRPr="006A731A" w:rsidRDefault="006A731A" w:rsidP="000C2217">
      <w:pPr>
        <w:spacing w:line="360" w:lineRule="auto"/>
        <w:jc w:val="center"/>
        <w:rPr>
          <w:rFonts w:ascii="e-Ukraine Bold" w:eastAsia="Times New Roman" w:hAnsi="e-Ukraine Bold" w:cs="Calibri"/>
          <w:b/>
          <w:color w:val="auto"/>
          <w:sz w:val="36"/>
          <w:szCs w:val="36"/>
        </w:rPr>
      </w:pPr>
      <w:r w:rsidRPr="006A731A">
        <w:rPr>
          <w:rFonts w:ascii="e-Ukraine Bold" w:eastAsia="Times New Roman" w:hAnsi="e-Ukraine Bold" w:cs="Calibri"/>
          <w:b/>
          <w:color w:val="auto"/>
          <w:sz w:val="36"/>
          <w:szCs w:val="36"/>
        </w:rPr>
        <w:t>П</w:t>
      </w:r>
      <w:r w:rsidR="003B394F" w:rsidRPr="006A731A">
        <w:rPr>
          <w:rFonts w:ascii="e-Ukraine Bold" w:eastAsia="Times New Roman" w:hAnsi="e-Ukraine Bold" w:cs="Calibri"/>
          <w:b/>
          <w:color w:val="auto"/>
          <w:sz w:val="36"/>
          <w:szCs w:val="36"/>
        </w:rPr>
        <w:t xml:space="preserve">орядок внесення розмінної монети в РРО та/або в ПРРО </w:t>
      </w:r>
    </w:p>
    <w:p w:rsidR="003B394F" w:rsidRDefault="00B67738" w:rsidP="000C2217">
      <w:pPr>
        <w:spacing w:line="360" w:lineRule="auto"/>
        <w:rPr>
          <w:rFonts w:ascii="e-Ukraine" w:eastAsia="Times New Roman" w:hAnsi="e-Ukraine" w:cs="Calibri"/>
          <w:i/>
          <w:color w:val="000000"/>
          <w:sz w:val="28"/>
          <w:szCs w:val="28"/>
        </w:rPr>
      </w:pPr>
      <w:r w:rsidRPr="006A731A">
        <w:rPr>
          <w:rFonts w:ascii="e-Ukraine" w:eastAsia="Times New Roman" w:hAnsi="e-Ukraine" w:cs="Calibri"/>
          <w:i/>
          <w:color w:val="000000"/>
          <w:sz w:val="28"/>
          <w:szCs w:val="28"/>
        </w:rPr>
        <w:t>7</w:t>
      </w:r>
      <w:r w:rsidR="00C10BD5" w:rsidRPr="006A731A">
        <w:rPr>
          <w:rFonts w:ascii="e-Ukraine" w:eastAsia="Times New Roman" w:hAnsi="e-Ukraine" w:cs="Calibri"/>
          <w:i/>
          <w:color w:val="000000"/>
          <w:sz w:val="28"/>
          <w:szCs w:val="28"/>
        </w:rPr>
        <w:t xml:space="preserve"> </w:t>
      </w:r>
      <w:r w:rsidR="00D312AE" w:rsidRPr="006A731A">
        <w:rPr>
          <w:rFonts w:ascii="e-Ukraine" w:eastAsia="Times New Roman" w:hAnsi="e-Ukraine" w:cs="Calibri"/>
          <w:i/>
          <w:color w:val="000000"/>
          <w:sz w:val="28"/>
          <w:szCs w:val="28"/>
        </w:rPr>
        <w:t>липн</w:t>
      </w:r>
      <w:r w:rsidR="00C10BD5" w:rsidRPr="006A731A">
        <w:rPr>
          <w:rFonts w:ascii="e-Ukraine" w:eastAsia="Times New Roman" w:hAnsi="e-Ukraine" w:cs="Calibri"/>
          <w:i/>
          <w:color w:val="000000"/>
          <w:sz w:val="28"/>
          <w:szCs w:val="28"/>
        </w:rPr>
        <w:t>я 2021</w:t>
      </w:r>
      <w:r w:rsidR="003B394F" w:rsidRPr="006A731A">
        <w:rPr>
          <w:rFonts w:ascii="e-Ukraine" w:eastAsia="Times New Roman" w:hAnsi="e-Ukraine" w:cs="Calibri"/>
          <w:i/>
          <w:color w:val="000000"/>
          <w:sz w:val="28"/>
          <w:szCs w:val="28"/>
        </w:rPr>
        <w:t xml:space="preserve"> </w:t>
      </w:r>
    </w:p>
    <w:p w:rsidR="006A731A" w:rsidRPr="006A731A" w:rsidRDefault="006A731A" w:rsidP="000C2217">
      <w:pPr>
        <w:spacing w:line="360" w:lineRule="auto"/>
        <w:rPr>
          <w:rFonts w:ascii="e-Ukraine" w:eastAsia="Times New Roman" w:hAnsi="e-Ukraine" w:cs="Calibri"/>
          <w:i/>
          <w:color w:val="000000"/>
          <w:sz w:val="28"/>
          <w:szCs w:val="28"/>
        </w:rPr>
      </w:pPr>
    </w:p>
    <w:p w:rsidR="006A731A" w:rsidRDefault="006A731A" w:rsidP="006A731A">
      <w:pPr>
        <w:spacing w:line="360" w:lineRule="auto"/>
        <w:jc w:val="both"/>
        <w:rPr>
          <w:rFonts w:eastAsia="Times New Roman"/>
          <w:color w:val="000000"/>
          <w:sz w:val="22"/>
          <w:szCs w:val="22"/>
          <w:lang w:eastAsia="uk-UA"/>
        </w:rPr>
      </w:pPr>
      <w:r w:rsidRPr="006F432D">
        <w:rPr>
          <w:rFonts w:ascii="e-Ukraine" w:eastAsia="Times New Roman" w:hAnsi="e-Ukraine" w:cs="Calibri"/>
          <w:color w:val="000000"/>
          <w:sz w:val="28"/>
          <w:szCs w:val="28"/>
        </w:rPr>
        <w:t xml:space="preserve">Відділ комунікацій з громадськістю управління інформаційної взаємодії Головного управління ДПС у </w:t>
      </w:r>
      <w:r>
        <w:rPr>
          <w:rFonts w:ascii="e-Ukraine" w:eastAsia="Times New Roman" w:hAnsi="e-Ukraine" w:cs="Calibri"/>
          <w:noProof/>
          <w:color w:val="000000"/>
          <w:sz w:val="28"/>
          <w:szCs w:val="28"/>
          <w:lang w:eastAsia="uk-UA"/>
        </w:rPr>
        <w:lastRenderedPageBreak/>
        <w:pict>
          <v:roundrect id="_x0000_s1055" style="position:absolute;left:0;text-align:left;margin-left:-13.1pt;margin-top:-6.75pt;width:257.15pt;height:562.65pt;z-index:251666432;visibility:visible;mso-position-horizontal-relative:text;mso-position-vertical-relative:text;v-text-anchor:middle" arcsize="989f" filled="f" strokecolor="navy" strokeweight="5pt">
            <v:stroke linestyle="thinThin" joinstyle="miter"/>
          </v:roundrect>
        </w:pict>
      </w:r>
      <w:r w:rsidRPr="006F432D">
        <w:rPr>
          <w:rFonts w:ascii="e-Ukraine" w:eastAsia="Times New Roman" w:hAnsi="e-Ukraine" w:cs="Calibri"/>
          <w:color w:val="000000"/>
          <w:sz w:val="28"/>
          <w:szCs w:val="28"/>
        </w:rPr>
        <w:t xml:space="preserve">Дніпропетровській області (територія обслуговування Нікопольського регіону) нагадує, що відповідно до п. 22 </w:t>
      </w:r>
      <w:proofErr w:type="spellStart"/>
      <w:r w:rsidRPr="006F432D">
        <w:rPr>
          <w:rFonts w:ascii="e-Ukraine" w:eastAsia="Times New Roman" w:hAnsi="e-Ukraine" w:cs="Calibri"/>
          <w:color w:val="000000"/>
          <w:sz w:val="28"/>
          <w:szCs w:val="28"/>
        </w:rPr>
        <w:t>розд</w:t>
      </w:r>
      <w:proofErr w:type="spellEnd"/>
      <w:r w:rsidRPr="006F432D">
        <w:rPr>
          <w:rFonts w:ascii="e-Ukraine" w:eastAsia="Times New Roman" w:hAnsi="e-Ukraine" w:cs="Calibri"/>
          <w:color w:val="000000"/>
          <w:sz w:val="28"/>
          <w:szCs w:val="28"/>
        </w:rPr>
        <w:t xml:space="preserve">. ІІ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 із змінами та доповненнями, суб’єкти господарювання зобов’язані в разі отримання від споживачів у сплату за продукцію (товари, роботи, послуги) зношених банкнот не видавати такі банкноти на здачу та надалі здати їх разом з готівковою виручкою (готівкою) до обслуговуючих </w:t>
      </w:r>
      <w:r>
        <w:rPr>
          <w:rFonts w:ascii="e-Ukraine" w:eastAsia="Times New Roman" w:hAnsi="e-Ukraine" w:cs="Calibri"/>
          <w:noProof/>
          <w:color w:val="000000"/>
          <w:sz w:val="28"/>
          <w:szCs w:val="28"/>
          <w:lang w:eastAsia="uk-UA"/>
        </w:rPr>
        <w:lastRenderedPageBreak/>
        <w:pict>
          <v:roundrect id="_x0000_s1054" style="position:absolute;left:0;text-align:left;margin-left:-11.85pt;margin-top:-3.1pt;width:257.15pt;height:562.65pt;z-index:251665408;visibility:visible;mso-position-horizontal-relative:text;mso-position-vertical-relative:text;v-text-anchor:middle" arcsize="989f" filled="f" strokecolor="navy" strokeweight="5pt">
            <v:stroke linestyle="thinThin" joinstyle="miter"/>
          </v:roundrect>
        </w:pict>
      </w:r>
      <w:r w:rsidRPr="006F432D">
        <w:rPr>
          <w:rFonts w:ascii="e-Ukraine" w:eastAsia="Times New Roman" w:hAnsi="e-Ukraine" w:cs="Calibri"/>
          <w:color w:val="000000"/>
          <w:sz w:val="28"/>
          <w:szCs w:val="28"/>
        </w:rPr>
        <w:t xml:space="preserve">банків. Суб’єкти господарювання повинні забезпечувати наявність у касі банкнот і монет для видачі здачі за винятком тих номіналів монет (банкнот), карбування та випуск в обіг/додатковий випуск в обіг яких припинено Національним банком України (далі – НБУ)). Суб’єкти господарювання, у разі прийняття НБУ рішення щодо припинення карбування та випуску в обіг/додаткового випуску в обіг певних номіналів монет, зобов’язані здійснювати заокруглення загальної суми покупки в порядку, передбаченому нормативно-правовим актом НБУ з питань, що регулюють </w:t>
      </w:r>
      <w:r>
        <w:rPr>
          <w:noProof/>
          <w:lang w:eastAsia="uk-UA"/>
        </w:rPr>
        <w:lastRenderedPageBreak/>
        <w:pict>
          <v:roundrect id="_x0000_s1053" style="position:absolute;left:0;text-align:left;margin-left:-9.95pt;margin-top:-6.75pt;width:257.15pt;height:562.65pt;z-index:251664384;visibility:visible;mso-position-horizontal-relative:text;mso-position-vertical-relative:text;v-text-anchor:middle" arcsize="989f" filled="f" strokecolor="navy" strokeweight="5pt">
            <v:stroke linestyle="thinThin" joinstyle="miter"/>
          </v:roundrect>
        </w:pict>
      </w:r>
      <w:r w:rsidRPr="006F432D">
        <w:rPr>
          <w:rFonts w:ascii="e-Ukraine" w:eastAsia="Times New Roman" w:hAnsi="e-Ukraine" w:cs="Calibri"/>
          <w:color w:val="000000"/>
          <w:sz w:val="28"/>
          <w:szCs w:val="28"/>
        </w:rPr>
        <w:t>обіг монет дрібних номіналів.</w:t>
      </w:r>
      <w:r w:rsidRPr="006F432D">
        <w:rPr>
          <w:rFonts w:ascii="e-Ukraine" w:eastAsia="Times New Roman" w:hAnsi="e-Ukraine" w:cs="Calibri"/>
          <w:color w:val="000000"/>
          <w:sz w:val="28"/>
          <w:szCs w:val="28"/>
        </w:rPr>
        <w:br/>
        <w:t xml:space="preserve">Згідно з п. 6 </w:t>
      </w:r>
      <w:proofErr w:type="spellStart"/>
      <w:r w:rsidRPr="006F432D">
        <w:rPr>
          <w:rFonts w:ascii="e-Ukraine" w:eastAsia="Times New Roman" w:hAnsi="e-Ukraine" w:cs="Calibri"/>
          <w:color w:val="000000"/>
          <w:sz w:val="28"/>
          <w:szCs w:val="28"/>
        </w:rPr>
        <w:t>розд</w:t>
      </w:r>
      <w:proofErr w:type="spellEnd"/>
      <w:r w:rsidRPr="006F432D">
        <w:rPr>
          <w:rFonts w:ascii="e-Ukraine" w:eastAsia="Times New Roman" w:hAnsi="e-Ukraine" w:cs="Calibri"/>
          <w:color w:val="000000"/>
          <w:sz w:val="28"/>
          <w:szCs w:val="28"/>
        </w:rPr>
        <w:t xml:space="preserve">. III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із змінами та доповненнями, внесення чи видача готівки з місця проведення розрахунків повинні реєструватись через реєстратори розрахункових операцій використанням операцій «службове внесення» та «службова видача», якщо таке </w:t>
      </w:r>
    </w:p>
    <w:sectPr w:rsidR="006A731A" w:rsidSect="000C2217">
      <w:pgSz w:w="16838" w:h="11906" w:orient="landscape"/>
      <w:pgMar w:top="426" w:right="536" w:bottom="850" w:left="851" w:header="708" w:footer="708" w:gutter="0"/>
      <w:cols w:num="3" w:space="551"/>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e-Ukraine">
    <w:altName w:val="Courier New"/>
    <w:panose1 w:val="00000000000000000000"/>
    <w:charset w:val="CC"/>
    <w:family w:val="auto"/>
    <w:notTrueType/>
    <w:pitch w:val="variable"/>
    <w:sig w:usb0="00000203" w:usb1="00000000" w:usb2="00000000" w:usb3="00000000" w:csb0="00000005" w:csb1="00000000"/>
  </w:font>
  <w:font w:name="Arial">
    <w:altName w:val="Tahoma"/>
    <w:panose1 w:val="020B0604020202020204"/>
    <w:charset w:val="CC"/>
    <w:family w:val="swiss"/>
    <w:pitch w:val="variable"/>
    <w:sig w:usb0="E0002AFF" w:usb1="C0007843" w:usb2="00000009" w:usb3="00000000" w:csb0="000001FF" w:csb1="00000000"/>
  </w:font>
  <w:font w:name="e-Ukraine Light Cyr">
    <w:altName w:val="Arial"/>
    <w:panose1 w:val="00000000000000000000"/>
    <w:charset w:val="CC"/>
    <w:family w:val="modern"/>
    <w:notTrueType/>
    <w:pitch w:val="variable"/>
    <w:sig w:usb0="00000201" w:usb1="00000000" w:usb2="00000000" w:usb3="00000000" w:csb0="00000004" w:csb1="00000000"/>
  </w:font>
  <w:font w:name="e-Ukraine Bold">
    <w:altName w:val="Courier New"/>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0F001C"/>
    <w:rsid w:val="00040067"/>
    <w:rsid w:val="000C2217"/>
    <w:rsid w:val="000F001C"/>
    <w:rsid w:val="001A7941"/>
    <w:rsid w:val="001C48B1"/>
    <w:rsid w:val="002769C1"/>
    <w:rsid w:val="002B55CF"/>
    <w:rsid w:val="003B394F"/>
    <w:rsid w:val="00507798"/>
    <w:rsid w:val="005C468D"/>
    <w:rsid w:val="005D65C0"/>
    <w:rsid w:val="006766E9"/>
    <w:rsid w:val="006A731A"/>
    <w:rsid w:val="007140C8"/>
    <w:rsid w:val="0071484B"/>
    <w:rsid w:val="007D22BF"/>
    <w:rsid w:val="008B244B"/>
    <w:rsid w:val="008D3C7C"/>
    <w:rsid w:val="0093140B"/>
    <w:rsid w:val="009A5CB7"/>
    <w:rsid w:val="00AB164F"/>
    <w:rsid w:val="00B32EB5"/>
    <w:rsid w:val="00B62028"/>
    <w:rsid w:val="00B67738"/>
    <w:rsid w:val="00B90348"/>
    <w:rsid w:val="00C10BD5"/>
    <w:rsid w:val="00CC38CC"/>
    <w:rsid w:val="00D312AE"/>
    <w:rsid w:val="00E13F5E"/>
    <w:rsid w:val="00EB5AC9"/>
    <w:rsid w:val="00EC7A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84B"/>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З"/>
    <w:basedOn w:val="a"/>
    <w:link w:val="a6"/>
    <w:uiPriority w:val="99"/>
    <w:qFormat/>
    <w:rsid w:val="00EB5AC9"/>
    <w:pPr>
      <w:spacing w:before="100" w:beforeAutospacing="1" w:after="100" w:afterAutospacing="1" w:line="240" w:lineRule="auto"/>
    </w:pPr>
    <w:rPr>
      <w:rFonts w:ascii="Calibri" w:eastAsia="Times New Roman" w:hAnsi="Calibri" w:cs="Calibri"/>
      <w:color w:val="auto"/>
      <w:lang w:eastAsia="uk-UA"/>
    </w:rPr>
  </w:style>
  <w:style w:type="character" w:styleId="a7">
    <w:name w:val="Strong"/>
    <w:basedOn w:val="a0"/>
    <w:uiPriority w:val="99"/>
    <w:qFormat/>
    <w:rsid w:val="00EB5AC9"/>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З Знак"/>
    <w:link w:val="a5"/>
    <w:uiPriority w:val="99"/>
    <w:locked/>
    <w:rsid w:val="00EB5AC9"/>
    <w:rPr>
      <w:rFonts w:ascii="Calibri" w:eastAsia="Times New Roman" w:hAnsi="Calibri" w:cs="Calibri"/>
      <w:color w:val="auto"/>
      <w:lang w:eastAsia="uk-UA"/>
    </w:rPr>
  </w:style>
  <w:style w:type="paragraph" w:customStyle="1" w:styleId="a8">
    <w:name w:val="Знак Знак Знак Знак Знак Знак Знак Знак Знак"/>
    <w:basedOn w:val="a"/>
    <w:uiPriority w:val="99"/>
    <w:rsid w:val="00D312AE"/>
    <w:pPr>
      <w:spacing w:after="0" w:line="240" w:lineRule="auto"/>
    </w:pPr>
    <w:rPr>
      <w:rFonts w:ascii="Verdana" w:eastAsia="Times New Roman" w:hAnsi="Verdana" w:cs="Verdana"/>
      <w:color w:val="auto"/>
      <w:sz w:val="20"/>
      <w:szCs w:val="20"/>
      <w:lang w:val="en-US"/>
    </w:rPr>
  </w:style>
</w:styles>
</file>

<file path=word/webSettings.xml><?xml version="1.0" encoding="utf-8"?>
<w:webSettings xmlns:r="http://schemas.openxmlformats.org/officeDocument/2006/relationships" xmlns:w="http://schemas.openxmlformats.org/wordprocessingml/2006/main">
  <w:divs>
    <w:div w:id="129592893">
      <w:bodyDiv w:val="1"/>
      <w:marLeft w:val="0"/>
      <w:marRight w:val="0"/>
      <w:marTop w:val="0"/>
      <w:marBottom w:val="0"/>
      <w:divBdr>
        <w:top w:val="none" w:sz="0" w:space="0" w:color="auto"/>
        <w:left w:val="none" w:sz="0" w:space="0" w:color="auto"/>
        <w:bottom w:val="none" w:sz="0" w:space="0" w:color="auto"/>
        <w:right w:val="none" w:sz="0" w:space="0" w:color="auto"/>
      </w:divBdr>
    </w:div>
    <w:div w:id="338848111">
      <w:bodyDiv w:val="1"/>
      <w:marLeft w:val="0"/>
      <w:marRight w:val="0"/>
      <w:marTop w:val="0"/>
      <w:marBottom w:val="0"/>
      <w:divBdr>
        <w:top w:val="none" w:sz="0" w:space="0" w:color="auto"/>
        <w:left w:val="none" w:sz="0" w:space="0" w:color="auto"/>
        <w:bottom w:val="none" w:sz="0" w:space="0" w:color="auto"/>
        <w:right w:val="none" w:sz="0" w:space="0" w:color="auto"/>
      </w:divBdr>
    </w:div>
    <w:div w:id="9722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1763</Words>
  <Characters>1006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Z53166</dc:creator>
  <cp:lastModifiedBy>Z53166</cp:lastModifiedBy>
  <cp:revision>9</cp:revision>
  <dcterms:created xsi:type="dcterms:W3CDTF">2021-07-30T08:46:00Z</dcterms:created>
  <dcterms:modified xsi:type="dcterms:W3CDTF">2021-08-02T08:54:00Z</dcterms:modified>
</cp:coreProperties>
</file>