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43" w:rsidRDefault="00A075F9" w:rsidP="00F13843">
      <w:pPr>
        <w:spacing w:after="0" w:line="240" w:lineRule="auto"/>
        <w:jc w:val="both"/>
        <w:rPr>
          <w:rFonts w:asciiTheme="minorHAnsi" w:eastAsia="Times New Roman" w:hAnsiTheme="minorHAnsi" w:cstheme="minorHAnsi"/>
          <w:color w:val="000000"/>
          <w:sz w:val="30"/>
          <w:szCs w:val="30"/>
          <w:lang w:eastAsia="uk-UA"/>
        </w:rPr>
      </w:pPr>
      <w:r>
        <w:t xml:space="preserve"> </w:t>
      </w:r>
      <w:r w:rsidR="00F13843" w:rsidRPr="00BF3FF5">
        <w:rPr>
          <w:rFonts w:asciiTheme="minorHAnsi" w:eastAsia="Times New Roman" w:hAnsiTheme="minorHAnsi" w:cstheme="minorHAnsi"/>
          <w:color w:val="000000"/>
          <w:sz w:val="30"/>
          <w:szCs w:val="30"/>
          <w:lang w:eastAsia="uk-UA"/>
        </w:rPr>
        <w:t>вимушений прогул) періоди.</w:t>
      </w: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r w:rsidRPr="00BF3FF5">
        <w:rPr>
          <w:rFonts w:asciiTheme="minorHAnsi" w:eastAsia="Times New Roman" w:hAnsiTheme="minorHAnsi" w:cstheme="minorHAnsi"/>
          <w:color w:val="000000"/>
          <w:sz w:val="30"/>
          <w:szCs w:val="30"/>
          <w:lang w:eastAsia="uk-UA"/>
        </w:rPr>
        <w:t>Кількість календарних днів перебування у трудових/цивільно-правових відносинах протягом звітного місяця не може зазначатися у звітному місяці за майбутні та минулі звітні періоди, за винятком відпустки, відпустки у зв’язку з вагітністю та пологами і випадків поновлення на роботі особи за рішенням суду.</w:t>
      </w:r>
      <w:r w:rsidRPr="00BF3FF5">
        <w:rPr>
          <w:rFonts w:asciiTheme="minorHAnsi" w:eastAsia="Times New Roman" w:hAnsiTheme="minorHAnsi" w:cstheme="minorHAnsi"/>
          <w:color w:val="000000"/>
          <w:sz w:val="30"/>
          <w:szCs w:val="30"/>
          <w:lang w:eastAsia="uk-UA"/>
        </w:rPr>
        <w:br/>
        <w:t>За наявності декількох рядків стосовно однієї застрахованої особи кількість календарних днів перебування у трудових/цивільно-правових відносинах протягом звітного місяця зазначається лише в одному, а саме у тому, у якому зазначаються дані про суми заробітної плати (за їх наявності).</w:t>
      </w:r>
    </w:p>
    <w:p w:rsidR="00F13843" w:rsidRDefault="00F13843" w:rsidP="00F13843">
      <w:pPr>
        <w:spacing w:after="0" w:line="240" w:lineRule="auto"/>
        <w:ind w:firstLine="709"/>
        <w:jc w:val="both"/>
      </w:pPr>
      <w:r w:rsidRPr="00BF3FF5">
        <w:rPr>
          <w:rFonts w:asciiTheme="minorHAnsi" w:eastAsia="Times New Roman" w:hAnsiTheme="minorHAnsi" w:cstheme="minorHAnsi"/>
          <w:color w:val="000000"/>
          <w:sz w:val="30"/>
          <w:szCs w:val="30"/>
          <w:lang w:eastAsia="uk-UA"/>
        </w:rPr>
        <w:t>Таким чином, нарахування єдиного внеску працівнику, якому розраховуються відпускні за поточний і майбутній періоди, здійснюється за кожен період окремо. При цьому, сплата єдиного внеску здійснюється з усієї суми нарахованих відпускних у місяці, в якому були здійснені</w:t>
      </w:r>
    </w:p>
    <w:p w:rsidR="00F13843" w:rsidRDefault="00F13843" w:rsidP="00F13843">
      <w:pPr>
        <w:spacing w:after="0" w:line="240" w:lineRule="auto"/>
        <w:jc w:val="both"/>
        <w:rPr>
          <w:rFonts w:asciiTheme="minorHAnsi" w:eastAsia="Times New Roman" w:hAnsiTheme="minorHAnsi" w:cstheme="minorHAnsi"/>
          <w:color w:val="000000"/>
          <w:sz w:val="30"/>
          <w:szCs w:val="30"/>
          <w:lang w:eastAsia="uk-UA"/>
        </w:rPr>
      </w:pPr>
      <w:r w:rsidRPr="00BF3FF5">
        <w:rPr>
          <w:rFonts w:asciiTheme="minorHAnsi" w:eastAsia="Times New Roman" w:hAnsiTheme="minorHAnsi" w:cstheme="minorHAnsi"/>
          <w:color w:val="000000"/>
          <w:sz w:val="30"/>
          <w:szCs w:val="30"/>
          <w:lang w:eastAsia="uk-UA"/>
        </w:rPr>
        <w:t>нарахування.</w:t>
      </w: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r w:rsidRPr="00BF3FF5">
        <w:rPr>
          <w:rFonts w:asciiTheme="minorHAnsi" w:eastAsia="Times New Roman" w:hAnsiTheme="minorHAnsi" w:cstheme="minorHAnsi"/>
          <w:color w:val="000000"/>
          <w:sz w:val="30"/>
          <w:szCs w:val="30"/>
          <w:lang w:eastAsia="uk-UA"/>
        </w:rPr>
        <w:lastRenderedPageBreak/>
        <w:t>Так, для працівника, який відпрацював частину місяця, а іншу частину перебував у відпустці, де загальна сума нарахованого доходу за поточний місяць (сума нарахованої заробітної плати за відпрацьований час та частина відпускних, нарахованих за час перебування працівника у відпустці в поточному місяці) не перевищує розміру мінімальної заробітної плати, сума єдиного внеску розраховується, як добуток розміру мінімальної заробітної плати, встановленої законом на місяць, за який нараховується заробітна плата (дохід), та ставки ЄВ.</w:t>
      </w: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F13843" w:rsidRDefault="00F13843" w:rsidP="00AF0E93">
      <w:pPr>
        <w:spacing w:after="0" w:line="240" w:lineRule="auto"/>
        <w:jc w:val="both"/>
        <w:rPr>
          <w:rFonts w:asciiTheme="minorHAnsi" w:eastAsia="Times New Roman" w:hAnsiTheme="minorHAnsi" w:cstheme="minorHAnsi"/>
          <w:color w:val="000000"/>
          <w:sz w:val="30"/>
          <w:szCs w:val="30"/>
          <w:lang w:eastAsia="uk-UA"/>
        </w:rPr>
      </w:pP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F1384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F13843" w:rsidRDefault="00AF0E93" w:rsidP="00F13843">
      <w:pPr>
        <w:spacing w:after="0" w:line="240" w:lineRule="auto"/>
        <w:ind w:firstLine="709"/>
        <w:jc w:val="both"/>
        <w:rPr>
          <w:rFonts w:asciiTheme="minorHAnsi" w:eastAsia="Times New Roman" w:hAnsiTheme="minorHAnsi" w:cstheme="minorHAnsi"/>
          <w:color w:val="000000"/>
          <w:sz w:val="30"/>
          <w:szCs w:val="30"/>
          <w:lang w:eastAsia="uk-UA"/>
        </w:rPr>
      </w:pPr>
      <w:r>
        <w:rPr>
          <w:rFonts w:asciiTheme="minorHAnsi" w:eastAsia="Times New Roman" w:hAnsiTheme="minorHAnsi" w:cstheme="minorHAnsi"/>
          <w:noProof/>
          <w:color w:val="000000"/>
          <w:sz w:val="30"/>
          <w:szCs w:val="30"/>
          <w:lang w:eastAsia="uk-UA"/>
        </w:rPr>
        <w:pict>
          <v:shapetype id="_x0000_t202" coordsize="21600,21600" o:spt="202" path="m,l,21600r21600,l21600,xe">
            <v:stroke joinstyle="miter"/>
            <v:path gradientshapeok="t" o:connecttype="rect"/>
          </v:shapetype>
          <v:shape id="Поле 10" o:spid="_x0000_s1037" type="#_x0000_t202" style="position:absolute;left:0;text-align:left;margin-left:-3.8pt;margin-top:29.35pt;width:211.65pt;height:48.75pt;z-index:251658240;visibility:visible" fillcolor="#d8d8d8" stroked="f" strokeweight=".5pt">
            <v:textbox style="mso-next-textbox:#Поле 10">
              <w:txbxContent>
                <w:p w:rsidR="00AF0E93" w:rsidRPr="00932130" w:rsidRDefault="00AF0E93" w:rsidP="00EB5AC9">
                  <w:pPr>
                    <w:pStyle w:val="a5"/>
                    <w:spacing w:before="0" w:beforeAutospacing="0" w:after="0" w:afterAutospacing="0"/>
                    <w:jc w:val="center"/>
                    <w:rPr>
                      <w:rStyle w:val="a7"/>
                      <w:b w:val="0"/>
                      <w:spacing w:val="-4"/>
                      <w:sz w:val="14"/>
                      <w:szCs w:val="14"/>
                    </w:rPr>
                  </w:pPr>
                  <w:r w:rsidRPr="00932130">
                    <w:rPr>
                      <w:rStyle w:val="a7"/>
                      <w:b w:val="0"/>
                      <w:spacing w:val="-4"/>
                      <w:sz w:val="14"/>
                      <w:szCs w:val="14"/>
                    </w:rPr>
                    <w:t xml:space="preserve">Офіційний </w:t>
                  </w:r>
                  <w:proofErr w:type="spellStart"/>
                  <w:r w:rsidRPr="00932130">
                    <w:rPr>
                      <w:rStyle w:val="a7"/>
                      <w:b w:val="0"/>
                      <w:spacing w:val="-4"/>
                      <w:sz w:val="14"/>
                      <w:szCs w:val="14"/>
                    </w:rPr>
                    <w:t>веб-портал</w:t>
                  </w:r>
                  <w:proofErr w:type="spellEnd"/>
                  <w:r w:rsidRPr="00932130">
                    <w:rPr>
                      <w:rStyle w:val="a7"/>
                      <w:b w:val="0"/>
                      <w:spacing w:val="-4"/>
                      <w:sz w:val="14"/>
                      <w:szCs w:val="14"/>
                    </w:rPr>
                    <w:t xml:space="preserve"> Державної податкової служби України:</w:t>
                  </w:r>
                  <w:r w:rsidRPr="00932130">
                    <w:rPr>
                      <w:rStyle w:val="a7"/>
                      <w:b w:val="0"/>
                      <w:spacing w:val="-4"/>
                      <w:sz w:val="14"/>
                      <w:szCs w:val="14"/>
                      <w:lang w:val="ru-RU"/>
                    </w:rPr>
                    <w:t xml:space="preserve"> </w:t>
                  </w:r>
                  <w:r w:rsidRPr="00932130">
                    <w:rPr>
                      <w:rStyle w:val="a7"/>
                      <w:b w:val="0"/>
                      <w:bCs w:val="0"/>
                      <w:spacing w:val="-4"/>
                      <w:sz w:val="14"/>
                      <w:szCs w:val="14"/>
                      <w:lang w:val="en-US"/>
                    </w:rPr>
                    <w:t>tax</w:t>
                  </w:r>
                  <w:proofErr w:type="spellStart"/>
                  <w:r w:rsidRPr="00932130">
                    <w:rPr>
                      <w:rStyle w:val="a7"/>
                      <w:b w:val="0"/>
                      <w:bCs w:val="0"/>
                      <w:spacing w:val="-4"/>
                      <w:sz w:val="14"/>
                      <w:szCs w:val="14"/>
                    </w:rPr>
                    <w:t>.gov.ua</w:t>
                  </w:r>
                  <w:proofErr w:type="spellEnd"/>
                </w:p>
                <w:p w:rsidR="00AF0E93" w:rsidRPr="00932130" w:rsidRDefault="00AF0E93" w:rsidP="00EB5AC9">
                  <w:pPr>
                    <w:pStyle w:val="a5"/>
                    <w:spacing w:before="0" w:beforeAutospacing="0" w:after="0" w:afterAutospacing="0"/>
                    <w:jc w:val="center"/>
                    <w:rPr>
                      <w:rStyle w:val="a7"/>
                      <w:b w:val="0"/>
                      <w:bCs w:val="0"/>
                      <w:spacing w:val="-4"/>
                      <w:sz w:val="14"/>
                      <w:szCs w:val="14"/>
                      <w:lang w:val="ru-RU"/>
                    </w:rPr>
                  </w:pPr>
                  <w:proofErr w:type="spellStart"/>
                  <w:r w:rsidRPr="00932130">
                    <w:rPr>
                      <w:rStyle w:val="a7"/>
                      <w:b w:val="0"/>
                      <w:bCs w:val="0"/>
                      <w:spacing w:val="-4"/>
                      <w:sz w:val="14"/>
                      <w:szCs w:val="14"/>
                      <w:lang w:val="ru-RU"/>
                    </w:rPr>
                    <w:t>Інформаційно-довідковий</w:t>
                  </w:r>
                  <w:proofErr w:type="spellEnd"/>
                  <w:r w:rsidRPr="00932130">
                    <w:rPr>
                      <w:rStyle w:val="a7"/>
                      <w:b w:val="0"/>
                      <w:bCs w:val="0"/>
                      <w:spacing w:val="-4"/>
                      <w:sz w:val="14"/>
                      <w:szCs w:val="14"/>
                      <w:lang w:val="ru-RU"/>
                    </w:rPr>
                    <w:t xml:space="preserve"> департамент ДПС </w:t>
                  </w:r>
                  <w:proofErr w:type="spellStart"/>
                  <w:r w:rsidRPr="00932130">
                    <w:rPr>
                      <w:rStyle w:val="a7"/>
                      <w:b w:val="0"/>
                      <w:bCs w:val="0"/>
                      <w:spacing w:val="-4"/>
                      <w:sz w:val="14"/>
                      <w:szCs w:val="14"/>
                      <w:lang w:val="ru-RU"/>
                    </w:rPr>
                    <w:t>України</w:t>
                  </w:r>
                  <w:proofErr w:type="spellEnd"/>
                  <w:r w:rsidRPr="00932130">
                    <w:rPr>
                      <w:rStyle w:val="a7"/>
                      <w:b w:val="0"/>
                      <w:bCs w:val="0"/>
                      <w:spacing w:val="-4"/>
                      <w:sz w:val="14"/>
                      <w:szCs w:val="14"/>
                      <w:lang w:val="ru-RU"/>
                    </w:rPr>
                    <w:t>: 0-800-501-007.</w:t>
                  </w:r>
                </w:p>
                <w:p w:rsidR="00AF0E93" w:rsidRPr="00932130" w:rsidRDefault="00AF0E93" w:rsidP="00EB5AC9">
                  <w:pPr>
                    <w:pStyle w:val="a5"/>
                    <w:spacing w:before="0" w:beforeAutospacing="0" w:after="0" w:afterAutospacing="0"/>
                    <w:jc w:val="center"/>
                    <w:rPr>
                      <w:rStyle w:val="a7"/>
                      <w:b w:val="0"/>
                      <w:bCs w:val="0"/>
                      <w:spacing w:val="-4"/>
                      <w:sz w:val="14"/>
                      <w:szCs w:val="14"/>
                      <w:lang w:val="ru-RU"/>
                    </w:rPr>
                  </w:pPr>
                  <w:r w:rsidRPr="00932130">
                    <w:rPr>
                      <w:rStyle w:val="a7"/>
                      <w:b w:val="0"/>
                      <w:bCs w:val="0"/>
                      <w:spacing w:val="-4"/>
                      <w:sz w:val="14"/>
                      <w:szCs w:val="14"/>
                      <w:lang w:val="ru-RU"/>
                    </w:rPr>
                    <w:t>"</w:t>
                  </w:r>
                  <w:proofErr w:type="spellStart"/>
                  <w:r w:rsidRPr="00932130">
                    <w:rPr>
                      <w:rStyle w:val="a7"/>
                      <w:b w:val="0"/>
                      <w:bCs w:val="0"/>
                      <w:spacing w:val="-4"/>
                      <w:sz w:val="14"/>
                      <w:szCs w:val="14"/>
                      <w:lang w:val="ru-RU"/>
                    </w:rPr>
                    <w:t>Гаряча</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лінія</w:t>
                  </w:r>
                  <w:proofErr w:type="spellEnd"/>
                  <w:r w:rsidRPr="00932130">
                    <w:rPr>
                      <w:rStyle w:val="a7"/>
                      <w:b w:val="0"/>
                      <w:bCs w:val="0"/>
                      <w:spacing w:val="-4"/>
                      <w:sz w:val="14"/>
                      <w:szCs w:val="14"/>
                      <w:lang w:val="ru-RU"/>
                    </w:rPr>
                    <w:t xml:space="preserve">" ДПС </w:t>
                  </w:r>
                  <w:proofErr w:type="spellStart"/>
                  <w:r w:rsidRPr="00932130">
                    <w:rPr>
                      <w:rStyle w:val="a7"/>
                      <w:b w:val="0"/>
                      <w:bCs w:val="0"/>
                      <w:spacing w:val="-4"/>
                      <w:sz w:val="14"/>
                      <w:szCs w:val="14"/>
                      <w:lang w:val="ru-RU"/>
                    </w:rPr>
                    <w:t>України</w:t>
                  </w:r>
                  <w:proofErr w:type="spellEnd"/>
                  <w:r w:rsidRPr="00932130">
                    <w:rPr>
                      <w:rStyle w:val="a7"/>
                      <w:b w:val="0"/>
                      <w:bCs w:val="0"/>
                      <w:spacing w:val="-4"/>
                      <w:sz w:val="14"/>
                      <w:szCs w:val="14"/>
                      <w:lang w:val="ru-RU"/>
                    </w:rPr>
                    <w:t>: "Пульс": 0-800-501-007 (</w:t>
                  </w:r>
                  <w:proofErr w:type="spellStart"/>
                  <w:r w:rsidRPr="00932130">
                    <w:rPr>
                      <w:rStyle w:val="a7"/>
                      <w:b w:val="0"/>
                      <w:bCs w:val="0"/>
                      <w:spacing w:val="-4"/>
                      <w:sz w:val="14"/>
                      <w:szCs w:val="14"/>
                      <w:lang w:val="ru-RU"/>
                    </w:rPr>
                    <w:t>напрямок</w:t>
                  </w:r>
                  <w:proofErr w:type="spellEnd"/>
                  <w:r w:rsidRPr="00932130">
                    <w:rPr>
                      <w:rStyle w:val="a7"/>
                      <w:b w:val="0"/>
                      <w:bCs w:val="0"/>
                      <w:spacing w:val="-4"/>
                      <w:sz w:val="14"/>
                      <w:szCs w:val="14"/>
                      <w:lang w:val="ru-RU"/>
                    </w:rPr>
                    <w:t xml:space="preserve"> «4»)</w:t>
                  </w:r>
                </w:p>
                <w:p w:rsidR="00AF0E93" w:rsidRPr="00932130" w:rsidRDefault="00AF0E93" w:rsidP="00EB5AC9">
                  <w:pPr>
                    <w:pStyle w:val="a5"/>
                    <w:spacing w:before="0" w:beforeAutospacing="0" w:after="0" w:afterAutospacing="0"/>
                    <w:ind w:right="-80" w:hanging="142"/>
                    <w:jc w:val="both"/>
                    <w:rPr>
                      <w:rStyle w:val="a7"/>
                      <w:b w:val="0"/>
                      <w:bCs w:val="0"/>
                      <w:spacing w:val="-4"/>
                      <w:sz w:val="14"/>
                      <w:szCs w:val="14"/>
                    </w:rPr>
                  </w:pPr>
                  <w:proofErr w:type="spellStart"/>
                  <w:r w:rsidRPr="00932130">
                    <w:rPr>
                      <w:rStyle w:val="a7"/>
                      <w:b w:val="0"/>
                      <w:bCs w:val="0"/>
                      <w:spacing w:val="-4"/>
                      <w:sz w:val="14"/>
                      <w:szCs w:val="14"/>
                      <w:lang w:val="ru-RU"/>
                    </w:rPr>
                    <w:t>Кваліфікований</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надавач</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електронних</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довірчих</w:t>
                  </w:r>
                  <w:proofErr w:type="spellEnd"/>
                  <w:r w:rsidRPr="00932130">
                    <w:rPr>
                      <w:rStyle w:val="a7"/>
                      <w:b w:val="0"/>
                      <w:bCs w:val="0"/>
                      <w:spacing w:val="-4"/>
                      <w:sz w:val="14"/>
                      <w:szCs w:val="14"/>
                      <w:lang w:val="ru-RU"/>
                    </w:rPr>
                    <w:t xml:space="preserve"> </w:t>
                  </w:r>
                  <w:proofErr w:type="spellStart"/>
                  <w:r w:rsidRPr="00932130">
                    <w:rPr>
                      <w:rStyle w:val="a7"/>
                      <w:b w:val="0"/>
                      <w:bCs w:val="0"/>
                      <w:spacing w:val="-4"/>
                      <w:sz w:val="14"/>
                      <w:szCs w:val="14"/>
                      <w:lang w:val="ru-RU"/>
                    </w:rPr>
                    <w:t>послуг</w:t>
                  </w:r>
                  <w:proofErr w:type="spellEnd"/>
                  <w:r w:rsidRPr="00932130">
                    <w:rPr>
                      <w:rStyle w:val="a7"/>
                      <w:b w:val="0"/>
                      <w:bCs w:val="0"/>
                      <w:spacing w:val="-4"/>
                      <w:sz w:val="14"/>
                      <w:szCs w:val="14"/>
                      <w:lang w:val="ru-RU"/>
                    </w:rPr>
                    <w:t>: 0-800-501-007</w:t>
                  </w:r>
                  <w:r w:rsidRPr="00932130">
                    <w:rPr>
                      <w:rStyle w:val="a7"/>
                      <w:b w:val="0"/>
                      <w:bCs w:val="0"/>
                      <w:spacing w:val="-4"/>
                      <w:sz w:val="14"/>
                      <w:szCs w:val="14"/>
                    </w:rPr>
                    <w:t xml:space="preserve"> (напрямок «2»)</w:t>
                  </w:r>
                </w:p>
              </w:txbxContent>
            </v:textbox>
          </v:shape>
        </w:pict>
      </w:r>
    </w:p>
    <w:p w:rsidR="0071484B" w:rsidRDefault="0071484B" w:rsidP="00F13843">
      <w:pPr>
        <w:spacing w:after="0" w:line="240" w:lineRule="auto"/>
        <w:ind w:hanging="142"/>
        <w:jc w:val="both"/>
      </w:pPr>
      <w:r>
        <w:rPr>
          <w:noProof/>
          <w:lang w:eastAsia="uk-UA"/>
        </w:rPr>
        <w:lastRenderedPageBreak/>
        <w:drawing>
          <wp:inline distT="0" distB="0" distL="0" distR="0">
            <wp:extent cx="3446405" cy="1104406"/>
            <wp:effectExtent l="19050" t="0" r="1645" b="0"/>
            <wp:docPr id="3" name="Рисунок 4" descr="C:\Users\Z53166\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53166\AppData\Local\Microsoft\Windows\Temporary Internet Files\Content.Word\Новый рисунок.png"/>
                    <pic:cNvPicPr>
                      <a:picLocks noChangeAspect="1" noChangeArrowheads="1"/>
                    </pic:cNvPicPr>
                  </pic:nvPicPr>
                  <pic:blipFill>
                    <a:blip r:embed="rId4" cstate="print"/>
                    <a:srcRect/>
                    <a:stretch>
                      <a:fillRect/>
                    </a:stretch>
                  </pic:blipFill>
                  <pic:spPr bwMode="auto">
                    <a:xfrm>
                      <a:off x="0" y="0"/>
                      <a:ext cx="3454615" cy="1107037"/>
                    </a:xfrm>
                    <a:prstGeom prst="rect">
                      <a:avLst/>
                    </a:prstGeom>
                    <a:noFill/>
                    <a:ln w="9525">
                      <a:noFill/>
                      <a:miter lim="800000"/>
                      <a:headEnd/>
                      <a:tailEnd/>
                    </a:ln>
                  </pic:spPr>
                </pic:pic>
              </a:graphicData>
            </a:graphic>
          </wp:inline>
        </w:drawing>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Відділ комунікацій з громадськістю</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управління інформаційної взаємодії</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ГУ ДПС у Дніпропетровській області,</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53210, Дніпропетровська обл.,</w:t>
      </w:r>
    </w:p>
    <w:p w:rsidR="0071484B" w:rsidRPr="0071484B" w:rsidRDefault="0071484B" w:rsidP="0071484B">
      <w:pPr>
        <w:spacing w:after="0" w:line="240" w:lineRule="auto"/>
        <w:jc w:val="center"/>
        <w:rPr>
          <w:rFonts w:asciiTheme="minorHAnsi" w:hAnsiTheme="minorHAnsi" w:cstheme="minorHAnsi"/>
        </w:rPr>
      </w:pPr>
      <w:r w:rsidRPr="0071484B">
        <w:rPr>
          <w:rFonts w:asciiTheme="minorHAnsi" w:hAnsiTheme="minorHAnsi" w:cstheme="minorHAnsi"/>
        </w:rPr>
        <w:t>м. Нікополь, просп. Трубників, 27</w:t>
      </w:r>
    </w:p>
    <w:p w:rsidR="0071484B" w:rsidRPr="0071484B" w:rsidRDefault="0071484B" w:rsidP="0071484B">
      <w:pPr>
        <w:spacing w:after="0"/>
        <w:jc w:val="center"/>
        <w:rPr>
          <w:rFonts w:asciiTheme="minorHAnsi" w:hAnsiTheme="minorHAnsi" w:cstheme="minorHAnsi"/>
        </w:rPr>
      </w:pPr>
    </w:p>
    <w:p w:rsidR="0071484B" w:rsidRPr="0071484B" w:rsidRDefault="0071484B" w:rsidP="0071484B">
      <w:pPr>
        <w:spacing w:after="0" w:line="240" w:lineRule="auto"/>
        <w:jc w:val="both"/>
        <w:rPr>
          <w:rFonts w:asciiTheme="minorHAnsi" w:eastAsia="Times New Roman" w:hAnsiTheme="minorHAnsi" w:cstheme="minorHAnsi"/>
          <w:color w:val="000000"/>
          <w:sz w:val="22"/>
          <w:szCs w:val="22"/>
          <w:lang w:eastAsia="uk-UA"/>
        </w:rPr>
      </w:pPr>
    </w:p>
    <w:p w:rsidR="00F13843" w:rsidRPr="00F13843" w:rsidRDefault="00F13843" w:rsidP="00F13843">
      <w:pPr>
        <w:jc w:val="center"/>
        <w:rPr>
          <w:rFonts w:asciiTheme="minorHAnsi" w:eastAsia="Times New Roman" w:hAnsiTheme="minorHAnsi" w:cstheme="minorHAnsi"/>
          <w:i/>
          <w:color w:val="000000"/>
          <w:sz w:val="20"/>
          <w:szCs w:val="20"/>
          <w:lang w:eastAsia="uk-UA"/>
        </w:rPr>
      </w:pPr>
      <w:r w:rsidRPr="00BF3FF5">
        <w:rPr>
          <w:rFonts w:asciiTheme="minorHAnsi" w:eastAsia="Times New Roman" w:hAnsiTheme="minorHAnsi" w:cstheme="minorHAnsi"/>
          <w:b/>
          <w:color w:val="000000"/>
          <w:sz w:val="40"/>
          <w:szCs w:val="40"/>
          <w:lang w:eastAsia="uk-UA"/>
        </w:rPr>
        <w:t xml:space="preserve">Заробітна плата та відпускні нараховані за поточний та </w:t>
      </w:r>
      <w:r w:rsidRPr="00BF3FF5">
        <w:rPr>
          <w:rFonts w:asciiTheme="minorHAnsi" w:eastAsia="Times New Roman" w:hAnsiTheme="minorHAnsi" w:cstheme="minorHAnsi"/>
          <w:b/>
          <w:color w:val="000000"/>
          <w:sz w:val="40"/>
          <w:szCs w:val="40"/>
          <w:lang w:eastAsia="uk-UA"/>
        </w:rPr>
        <w:br/>
        <w:t>майбутні періоди: визначення бази нарахування єдиного внеску</w:t>
      </w:r>
      <w:r w:rsidRPr="00BF3FF5">
        <w:rPr>
          <w:rFonts w:asciiTheme="minorHAnsi" w:eastAsia="Times New Roman" w:hAnsiTheme="minorHAnsi" w:cstheme="minorHAnsi"/>
          <w:b/>
          <w:color w:val="000000"/>
          <w:sz w:val="40"/>
          <w:szCs w:val="40"/>
          <w:lang w:eastAsia="uk-UA"/>
        </w:rPr>
        <w:br/>
      </w:r>
    </w:p>
    <w:p w:rsidR="00864938" w:rsidRPr="00C10BD5" w:rsidRDefault="00F13843" w:rsidP="00F13843">
      <w:pPr>
        <w:rPr>
          <w:rFonts w:asciiTheme="minorHAnsi" w:eastAsia="Times New Roman" w:hAnsiTheme="minorHAnsi" w:cstheme="minorHAnsi"/>
          <w:i/>
          <w:color w:val="000000"/>
          <w:lang w:eastAsia="uk-UA"/>
        </w:rPr>
      </w:pPr>
      <w:r>
        <w:rPr>
          <w:rFonts w:asciiTheme="minorHAnsi" w:eastAsia="Times New Roman" w:hAnsiTheme="minorHAnsi" w:cstheme="minorHAnsi"/>
          <w:i/>
          <w:color w:val="000000"/>
          <w:lang w:eastAsia="uk-UA"/>
        </w:rPr>
        <w:t>11</w:t>
      </w:r>
      <w:r w:rsidR="00864938" w:rsidRPr="00C10BD5">
        <w:rPr>
          <w:rFonts w:asciiTheme="minorHAnsi" w:eastAsia="Times New Roman" w:hAnsiTheme="minorHAnsi" w:cstheme="minorHAnsi"/>
          <w:i/>
          <w:color w:val="000000"/>
          <w:lang w:eastAsia="uk-UA"/>
        </w:rPr>
        <w:t xml:space="preserve"> червня 2021</w:t>
      </w:r>
    </w:p>
    <w:p w:rsidR="0071484B" w:rsidRPr="00F13843" w:rsidRDefault="0071484B" w:rsidP="0071484B">
      <w:pPr>
        <w:spacing w:after="0" w:line="240" w:lineRule="auto"/>
        <w:jc w:val="both"/>
        <w:rPr>
          <w:rFonts w:asciiTheme="minorHAnsi" w:eastAsia="Times New Roman" w:hAnsiTheme="minorHAnsi" w:cstheme="minorHAnsi"/>
          <w:color w:val="000000"/>
          <w:sz w:val="20"/>
          <w:szCs w:val="20"/>
          <w:lang w:eastAsia="uk-UA"/>
        </w:rPr>
      </w:pPr>
    </w:p>
    <w:p w:rsidR="00AF0E9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r>
        <w:rPr>
          <w:rFonts w:asciiTheme="minorHAnsi" w:eastAsia="Times New Roman" w:hAnsiTheme="minorHAnsi" w:cstheme="minorHAnsi"/>
          <w:color w:val="000000"/>
          <w:sz w:val="30"/>
          <w:szCs w:val="30"/>
          <w:lang w:eastAsia="uk-UA"/>
        </w:rPr>
        <w:t>В</w:t>
      </w:r>
      <w:r w:rsidRPr="00BF3FF5">
        <w:rPr>
          <w:rFonts w:asciiTheme="minorHAnsi" w:eastAsia="Times New Roman" w:hAnsiTheme="minorHAnsi" w:cstheme="minorHAnsi"/>
          <w:color w:val="000000"/>
          <w:sz w:val="30"/>
          <w:szCs w:val="30"/>
          <w:lang w:eastAsia="uk-UA"/>
        </w:rPr>
        <w:t xml:space="preserve">ідповідно до частини 5 ст. 8 Закону України від 08 липня 2010 року № 2464-VI «Про збір та облік єдиного внеску на загальнообов’язкове державне </w:t>
      </w:r>
      <w:r w:rsidRPr="00BF3FF5">
        <w:rPr>
          <w:rFonts w:asciiTheme="minorHAnsi" w:eastAsia="Times New Roman" w:hAnsiTheme="minorHAnsi" w:cstheme="minorHAnsi"/>
          <w:color w:val="000000"/>
          <w:sz w:val="30"/>
          <w:szCs w:val="30"/>
          <w:lang w:eastAsia="uk-UA"/>
        </w:rPr>
        <w:lastRenderedPageBreak/>
        <w:t>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для платників, зазначених у ст. 4 Закону № 2464, встановлюється у розмірі 22 % до визначеної ст. 7 Закону № 2464 бази нарахування єдиного внеску.</w:t>
      </w:r>
      <w:r w:rsidRPr="00BF3FF5">
        <w:rPr>
          <w:rFonts w:asciiTheme="minorHAnsi" w:eastAsia="Times New Roman" w:hAnsiTheme="minorHAnsi" w:cstheme="minorHAnsi"/>
          <w:color w:val="000000"/>
          <w:sz w:val="30"/>
          <w:szCs w:val="30"/>
          <w:lang w:eastAsia="uk-UA"/>
        </w:rPr>
        <w:br/>
        <w:t xml:space="preserve">У разі якщо база нарахування єдиного внеску не перевищує розміру мінімальної заробітної плати, встановленої законом на місяць, за який отримано дохід, сума єдиного внеску розраховується як добуток розміру мінімальної заробітної плати, встановленої законом на місяць, за який отримано дохід (прибуток), та ставки єдиного внеску. Умовою застосування зазначеної норми є перебування найманого працівника у трудових відносинах (несення військової служби) повний календарний місяць або відпрацювання всіх робочих днів звітного місяця, які передбачені правилами внутрішнього трудового </w:t>
      </w:r>
      <w:r w:rsidRPr="00BF3FF5">
        <w:rPr>
          <w:rFonts w:asciiTheme="minorHAnsi" w:eastAsia="Times New Roman" w:hAnsiTheme="minorHAnsi" w:cstheme="minorHAnsi"/>
          <w:color w:val="000000"/>
          <w:sz w:val="30"/>
          <w:szCs w:val="30"/>
          <w:lang w:eastAsia="uk-UA"/>
        </w:rPr>
        <w:lastRenderedPageBreak/>
        <w:t>розпорядку і графіками змінності згідно із законодавством.</w:t>
      </w:r>
    </w:p>
    <w:p w:rsidR="00AF0E93" w:rsidRDefault="00AF0E9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AF0E93" w:rsidRDefault="00F13843" w:rsidP="00F13843">
      <w:pPr>
        <w:spacing w:after="0" w:line="240" w:lineRule="auto"/>
        <w:ind w:firstLine="709"/>
        <w:jc w:val="both"/>
        <w:rPr>
          <w:rFonts w:asciiTheme="minorHAnsi" w:eastAsia="Times New Roman" w:hAnsiTheme="minorHAnsi" w:cstheme="minorHAnsi"/>
          <w:color w:val="000000"/>
          <w:sz w:val="30"/>
          <w:szCs w:val="30"/>
          <w:lang w:eastAsia="uk-UA"/>
        </w:rPr>
      </w:pPr>
      <w:r w:rsidRPr="00BF3FF5">
        <w:rPr>
          <w:rFonts w:asciiTheme="minorHAnsi" w:eastAsia="Times New Roman" w:hAnsiTheme="minorHAnsi" w:cstheme="minorHAnsi"/>
          <w:color w:val="000000"/>
          <w:sz w:val="30"/>
          <w:szCs w:val="30"/>
          <w:lang w:eastAsia="uk-UA"/>
        </w:rPr>
        <w:t>Нарахування (обчислення) єдиного внеску здійснюється у Податковому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Розрахунок), затвердженому наказом Міністерства фінансів України від 13.01.2015 № 4 із змінами (далі – Наказ № 4), на підставі бухгалтерських та інших документів, які підтверджують нарахування (обчислення) виплат (доходу), на які відповідно до Закону № 2464 нараховується єдиний внесок.</w:t>
      </w:r>
    </w:p>
    <w:p w:rsidR="00AF0E93" w:rsidRDefault="00AF0E93" w:rsidP="00F13843">
      <w:pPr>
        <w:spacing w:after="0" w:line="240" w:lineRule="auto"/>
        <w:ind w:firstLine="709"/>
        <w:jc w:val="both"/>
        <w:rPr>
          <w:rFonts w:asciiTheme="minorHAnsi" w:eastAsia="Times New Roman" w:hAnsiTheme="minorHAnsi" w:cstheme="minorHAnsi"/>
          <w:color w:val="000000"/>
          <w:sz w:val="30"/>
          <w:szCs w:val="30"/>
          <w:lang w:eastAsia="uk-UA"/>
        </w:rPr>
      </w:pPr>
    </w:p>
    <w:p w:rsidR="00F13843" w:rsidRPr="00F13843" w:rsidRDefault="00F13843" w:rsidP="00AF0E93">
      <w:pPr>
        <w:spacing w:after="0" w:line="300" w:lineRule="atLeast"/>
        <w:ind w:firstLine="709"/>
        <w:jc w:val="both"/>
        <w:rPr>
          <w:rFonts w:asciiTheme="minorHAnsi" w:hAnsiTheme="minorHAnsi" w:cstheme="minorHAnsi"/>
          <w:sz w:val="30"/>
          <w:szCs w:val="30"/>
        </w:rPr>
      </w:pPr>
      <w:r w:rsidRPr="00BF3FF5">
        <w:rPr>
          <w:rFonts w:asciiTheme="minorHAnsi" w:eastAsia="Times New Roman" w:hAnsiTheme="minorHAnsi" w:cstheme="minorHAnsi"/>
          <w:color w:val="000000"/>
          <w:sz w:val="30"/>
          <w:szCs w:val="30"/>
          <w:lang w:eastAsia="uk-UA"/>
        </w:rPr>
        <w:t xml:space="preserve">Згідно з п. 1 розділу IV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w:t>
      </w:r>
      <w:r w:rsidRPr="00BF3FF5">
        <w:rPr>
          <w:rFonts w:asciiTheme="minorHAnsi" w:eastAsia="Times New Roman" w:hAnsiTheme="minorHAnsi" w:cstheme="minorHAnsi"/>
          <w:color w:val="000000"/>
          <w:sz w:val="30"/>
          <w:szCs w:val="30"/>
          <w:lang w:eastAsia="uk-UA"/>
        </w:rPr>
        <w:lastRenderedPageBreak/>
        <w:t xml:space="preserve">утриманого з них податку, а також сум нарахованого єдиного внеску, затвердженого Наказом № 4, стосовно однієї застрахованої особи допускається декілька записів у додатку 1 «Відомості про нарахування заробітної плати (доходу, грошового забезпечення) застрахованим особам» до Розрахунку, якщо протягом одного звітного (податкового) періоду застрахованій особі були здійснені нарахування виплат за поточні та майбутні (відпускні, допомога у зв’язку з вагітністю та пологами), за минулі (тимчасова непрацездатність та перебування у відпустці у зв’язку з вагітністю та пологами і нарахування сум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сум середньої заробітної плати за </w:t>
      </w:r>
    </w:p>
    <w:p w:rsidR="0071484B" w:rsidRPr="00F13843" w:rsidRDefault="0071484B" w:rsidP="00F13843">
      <w:pPr>
        <w:pStyle w:val="a5"/>
        <w:shd w:val="clear" w:color="auto" w:fill="FFFFFF"/>
        <w:spacing w:before="0" w:beforeAutospacing="0" w:after="0" w:afterAutospacing="0"/>
        <w:jc w:val="both"/>
        <w:rPr>
          <w:rFonts w:asciiTheme="minorHAnsi" w:hAnsiTheme="minorHAnsi" w:cstheme="minorHAnsi"/>
          <w:sz w:val="30"/>
          <w:szCs w:val="30"/>
        </w:rPr>
      </w:pPr>
    </w:p>
    <w:sectPr w:rsidR="0071484B" w:rsidRPr="00F13843" w:rsidSect="00F13843">
      <w:pgSz w:w="16838" w:h="11906" w:orient="landscape"/>
      <w:pgMar w:top="284" w:right="850" w:bottom="567" w:left="851" w:header="708" w:footer="708" w:gutter="0"/>
      <w:cols w:num="3" w:space="81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0F001C"/>
    <w:rsid w:val="000F001C"/>
    <w:rsid w:val="005D65C0"/>
    <w:rsid w:val="0071484B"/>
    <w:rsid w:val="00864938"/>
    <w:rsid w:val="0095628F"/>
    <w:rsid w:val="00A075F9"/>
    <w:rsid w:val="00A13D47"/>
    <w:rsid w:val="00AB164F"/>
    <w:rsid w:val="00AF0E93"/>
    <w:rsid w:val="00CC38CC"/>
    <w:rsid w:val="00D114A1"/>
    <w:rsid w:val="00EB5AC9"/>
    <w:rsid w:val="00EC7AF0"/>
    <w:rsid w:val="00F138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22222"/>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84B"/>
    <w:rPr>
      <w:rFonts w:ascii="Tahoma" w:hAnsi="Tahoma" w:cs="Tahoma"/>
      <w:sz w:val="16"/>
      <w:szCs w:val="16"/>
    </w:rPr>
  </w:style>
  <w:style w:type="paragraph" w:styleId="a5">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6"/>
    <w:uiPriority w:val="99"/>
    <w:rsid w:val="00EB5AC9"/>
    <w:pPr>
      <w:spacing w:before="100" w:beforeAutospacing="1" w:after="100" w:afterAutospacing="1" w:line="240" w:lineRule="auto"/>
    </w:pPr>
    <w:rPr>
      <w:rFonts w:ascii="Calibri" w:eastAsia="Times New Roman" w:hAnsi="Calibri" w:cs="Calibri"/>
      <w:color w:val="auto"/>
      <w:lang w:eastAsia="uk-UA"/>
    </w:rPr>
  </w:style>
  <w:style w:type="character" w:styleId="a7">
    <w:name w:val="Strong"/>
    <w:basedOn w:val="a0"/>
    <w:uiPriority w:val="99"/>
    <w:qFormat/>
    <w:rsid w:val="00EB5AC9"/>
    <w:rPr>
      <w:rFonts w:cs="Times New Roman"/>
      <w:b/>
      <w:bCs/>
    </w:rPr>
  </w:style>
  <w:style w:type="character" w:customStyle="1" w:styleId="a6">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link w:val="a5"/>
    <w:uiPriority w:val="99"/>
    <w:locked/>
    <w:rsid w:val="00EB5AC9"/>
    <w:rPr>
      <w:rFonts w:ascii="Calibri" w:eastAsia="Times New Roman" w:hAnsi="Calibri" w:cs="Calibri"/>
      <w:color w:val="auto"/>
      <w:lang w:eastAsia="uk-UA"/>
    </w:rPr>
  </w:style>
</w:styles>
</file>

<file path=word/webSettings.xml><?xml version="1.0" encoding="utf-8"?>
<w:webSettings xmlns:r="http://schemas.openxmlformats.org/officeDocument/2006/relationships" xmlns:w="http://schemas.openxmlformats.org/wordprocessingml/2006/main">
  <w:divs>
    <w:div w:id="160001973">
      <w:bodyDiv w:val="1"/>
      <w:marLeft w:val="0"/>
      <w:marRight w:val="0"/>
      <w:marTop w:val="0"/>
      <w:marBottom w:val="0"/>
      <w:divBdr>
        <w:top w:val="none" w:sz="0" w:space="0" w:color="auto"/>
        <w:left w:val="none" w:sz="0" w:space="0" w:color="auto"/>
        <w:bottom w:val="none" w:sz="0" w:space="0" w:color="auto"/>
        <w:right w:val="none" w:sz="0" w:space="0" w:color="auto"/>
      </w:divBdr>
    </w:div>
    <w:div w:id="9722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2796</Words>
  <Characters>1595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Z53166</dc:creator>
  <cp:lastModifiedBy>Z53166</cp:lastModifiedBy>
  <cp:revision>3</cp:revision>
  <dcterms:created xsi:type="dcterms:W3CDTF">2021-06-25T09:34:00Z</dcterms:created>
  <dcterms:modified xsi:type="dcterms:W3CDTF">2021-06-25T09:42:00Z</dcterms:modified>
</cp:coreProperties>
</file>