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94" w:rsidRPr="00D24DBE" w:rsidRDefault="00F75E94" w:rsidP="008233BA">
      <w:pPr>
        <w:ind w:left="10080"/>
        <w:jc w:val="both"/>
        <w:rPr>
          <w:color w:val="FFFFFF"/>
          <w:lang w:val="uk-UA"/>
        </w:rPr>
      </w:pPr>
      <w:bookmarkStart w:id="0" w:name="_GoBack"/>
      <w:bookmarkEnd w:id="0"/>
      <w:r w:rsidRPr="00D24DBE">
        <w:rPr>
          <w:color w:val="FFFFFF"/>
          <w:lang w:val="uk-UA"/>
        </w:rPr>
        <w:t>Додаток</w:t>
      </w:r>
    </w:p>
    <w:p w:rsidR="00F75E94" w:rsidRPr="00D24DBE" w:rsidRDefault="00F75E94" w:rsidP="008233BA">
      <w:pPr>
        <w:ind w:left="10080"/>
        <w:jc w:val="both"/>
        <w:rPr>
          <w:color w:val="FFFFFF"/>
          <w:lang w:val="uk-UA"/>
        </w:rPr>
      </w:pPr>
      <w:r w:rsidRPr="00D24DBE">
        <w:rPr>
          <w:color w:val="FFFFFF"/>
          <w:lang w:val="uk-UA"/>
        </w:rPr>
        <w:t xml:space="preserve">до листа Головного управління ДПС у Дніпропетровській області </w:t>
      </w:r>
    </w:p>
    <w:p w:rsidR="00F75E94" w:rsidRPr="00D24DBE" w:rsidRDefault="00F75E94" w:rsidP="008233BA">
      <w:pPr>
        <w:ind w:left="10080"/>
        <w:jc w:val="both"/>
        <w:rPr>
          <w:color w:val="FFFFFF"/>
          <w:lang w:val="uk-UA"/>
        </w:rPr>
      </w:pPr>
      <w:r w:rsidRPr="00D24DBE">
        <w:rPr>
          <w:color w:val="FFFFFF"/>
          <w:lang w:val="uk-UA"/>
        </w:rPr>
        <w:t>від ___.09.2022 № ______/04-36-</w:t>
      </w:r>
      <w:r w:rsidRPr="00D24DBE">
        <w:rPr>
          <w:color w:val="FFFFFF"/>
        </w:rPr>
        <w:t>30</w:t>
      </w:r>
      <w:r w:rsidRPr="00D24DBE">
        <w:rPr>
          <w:color w:val="FFFFFF"/>
          <w:lang w:val="uk-UA"/>
        </w:rPr>
        <w:t>-02-19</w:t>
      </w:r>
    </w:p>
    <w:p w:rsidR="00F75E94" w:rsidRPr="00E26EA0" w:rsidRDefault="00F75E94" w:rsidP="008233BA">
      <w:pPr>
        <w:jc w:val="center"/>
        <w:rPr>
          <w:b/>
          <w:lang w:val="uk-UA"/>
        </w:rPr>
      </w:pPr>
    </w:p>
    <w:p w:rsidR="00F75E94" w:rsidRPr="00E26EA0" w:rsidRDefault="00F75E94" w:rsidP="008233BA">
      <w:pPr>
        <w:tabs>
          <w:tab w:val="left" w:pos="2340"/>
        </w:tabs>
        <w:jc w:val="center"/>
        <w:rPr>
          <w:b/>
          <w:sz w:val="28"/>
          <w:szCs w:val="28"/>
          <w:lang w:val="uk-UA"/>
        </w:rPr>
      </w:pPr>
      <w:r w:rsidRPr="00E26EA0">
        <w:rPr>
          <w:b/>
          <w:sz w:val="28"/>
          <w:szCs w:val="28"/>
          <w:lang w:val="uk-UA"/>
        </w:rPr>
        <w:t xml:space="preserve">Моніторинг щотижневих важливих новацій у законодавстві, що набрали чинності у серпні 2022 року, </w:t>
      </w:r>
    </w:p>
    <w:p w:rsidR="00F75E94" w:rsidRPr="00E26EA0" w:rsidRDefault="00F75E94" w:rsidP="008233BA">
      <w:pPr>
        <w:tabs>
          <w:tab w:val="left" w:pos="2340"/>
        </w:tabs>
        <w:jc w:val="center"/>
        <w:rPr>
          <w:b/>
          <w:sz w:val="28"/>
          <w:szCs w:val="28"/>
          <w:lang w:val="uk-UA"/>
        </w:rPr>
      </w:pPr>
      <w:r w:rsidRPr="00E26EA0">
        <w:rPr>
          <w:b/>
          <w:sz w:val="28"/>
          <w:szCs w:val="28"/>
          <w:lang w:val="uk-UA"/>
        </w:rPr>
        <w:t xml:space="preserve">підготовлений </w:t>
      </w:r>
      <w:r>
        <w:rPr>
          <w:b/>
          <w:sz w:val="28"/>
          <w:szCs w:val="28"/>
          <w:lang w:val="uk-UA"/>
        </w:rPr>
        <w:t>Головним</w:t>
      </w:r>
      <w:r w:rsidRPr="00E26EA0">
        <w:rPr>
          <w:b/>
          <w:sz w:val="28"/>
          <w:szCs w:val="28"/>
          <w:lang w:val="uk-UA"/>
        </w:rPr>
        <w:t xml:space="preserve"> управління</w:t>
      </w:r>
      <w:r>
        <w:rPr>
          <w:b/>
          <w:sz w:val="28"/>
          <w:szCs w:val="28"/>
          <w:lang w:val="uk-UA"/>
        </w:rPr>
        <w:t>м</w:t>
      </w:r>
      <w:r w:rsidRPr="00E26EA0">
        <w:rPr>
          <w:b/>
          <w:sz w:val="28"/>
          <w:szCs w:val="28"/>
          <w:lang w:val="uk-UA"/>
        </w:rPr>
        <w:t xml:space="preserve"> ДПС у Дніпропетровській області</w:t>
      </w:r>
    </w:p>
    <w:p w:rsidR="00F75E94" w:rsidRPr="00E26EA0" w:rsidRDefault="00F75E94" w:rsidP="008233BA">
      <w:pPr>
        <w:tabs>
          <w:tab w:val="left" w:pos="2340"/>
        </w:tabs>
        <w:jc w:val="center"/>
        <w:rPr>
          <w:b/>
          <w:sz w:val="28"/>
          <w:szCs w:val="28"/>
          <w:lang w:val="uk-UA"/>
        </w:rPr>
      </w:pPr>
    </w:p>
    <w:tbl>
      <w:tblPr>
        <w:tblW w:w="1555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08"/>
        <w:gridCol w:w="2963"/>
        <w:gridCol w:w="3501"/>
        <w:gridCol w:w="3347"/>
        <w:gridCol w:w="3309"/>
      </w:tblGrid>
      <w:tr w:rsidR="00F75E94" w:rsidRPr="00E26EA0" w:rsidTr="004A24B0">
        <w:trPr>
          <w:trHeight w:val="425"/>
          <w:jc w:val="center"/>
        </w:trPr>
        <w:tc>
          <w:tcPr>
            <w:tcW w:w="828" w:type="dxa"/>
            <w:vMerge w:val="restart"/>
            <w:vAlign w:val="center"/>
          </w:tcPr>
          <w:p w:rsidR="00F75E94" w:rsidRPr="00E26EA0" w:rsidRDefault="00F75E94" w:rsidP="004A24B0">
            <w:pPr>
              <w:tabs>
                <w:tab w:val="left" w:pos="2340"/>
              </w:tabs>
              <w:jc w:val="center"/>
              <w:rPr>
                <w:b/>
                <w:lang w:val="uk-UA"/>
              </w:rPr>
            </w:pPr>
            <w:r w:rsidRPr="00E26EA0">
              <w:rPr>
                <w:b/>
                <w:lang w:val="uk-UA"/>
              </w:rPr>
              <w:t>№ з/п</w:t>
            </w:r>
          </w:p>
        </w:tc>
        <w:tc>
          <w:tcPr>
            <w:tcW w:w="1608" w:type="dxa"/>
            <w:vMerge w:val="restart"/>
            <w:vAlign w:val="center"/>
          </w:tcPr>
          <w:p w:rsidR="00F75E94" w:rsidRPr="00E26EA0" w:rsidRDefault="00F75E94" w:rsidP="004A24B0">
            <w:pPr>
              <w:tabs>
                <w:tab w:val="left" w:pos="2340"/>
              </w:tabs>
              <w:jc w:val="center"/>
              <w:rPr>
                <w:b/>
                <w:lang w:val="uk-UA"/>
              </w:rPr>
            </w:pPr>
            <w:r w:rsidRPr="00E26EA0">
              <w:rPr>
                <w:b/>
                <w:lang w:val="uk-UA"/>
              </w:rPr>
              <w:t>Дата набрання чинності</w:t>
            </w:r>
          </w:p>
          <w:p w:rsidR="00F75E94" w:rsidRPr="00E26EA0" w:rsidRDefault="00F75E94" w:rsidP="004A24B0">
            <w:pPr>
              <w:tabs>
                <w:tab w:val="left" w:pos="2340"/>
              </w:tabs>
              <w:jc w:val="center"/>
              <w:rPr>
                <w:b/>
                <w:lang w:val="uk-UA"/>
              </w:rPr>
            </w:pPr>
            <w:r w:rsidRPr="00E26EA0">
              <w:rPr>
                <w:b/>
                <w:lang w:val="uk-UA"/>
              </w:rPr>
              <w:t>документу</w:t>
            </w:r>
          </w:p>
        </w:tc>
        <w:tc>
          <w:tcPr>
            <w:tcW w:w="2963" w:type="dxa"/>
            <w:vMerge w:val="restart"/>
            <w:vAlign w:val="center"/>
          </w:tcPr>
          <w:p w:rsidR="00F75E94" w:rsidRPr="00E26EA0" w:rsidRDefault="00F75E94" w:rsidP="004A24B0">
            <w:pPr>
              <w:tabs>
                <w:tab w:val="left" w:pos="2340"/>
              </w:tabs>
              <w:jc w:val="center"/>
              <w:rPr>
                <w:b/>
                <w:lang w:val="uk-UA"/>
              </w:rPr>
            </w:pPr>
            <w:r w:rsidRPr="00E26EA0">
              <w:rPr>
                <w:b/>
                <w:lang w:val="uk-UA"/>
              </w:rPr>
              <w:t>Назва документу та його реквізити</w:t>
            </w:r>
          </w:p>
        </w:tc>
        <w:tc>
          <w:tcPr>
            <w:tcW w:w="10157" w:type="dxa"/>
            <w:gridSpan w:val="3"/>
            <w:vAlign w:val="center"/>
          </w:tcPr>
          <w:p w:rsidR="00F75E94" w:rsidRPr="00E26EA0" w:rsidRDefault="00F75E94" w:rsidP="004A24B0">
            <w:pPr>
              <w:tabs>
                <w:tab w:val="left" w:pos="2340"/>
              </w:tabs>
              <w:jc w:val="center"/>
              <w:rPr>
                <w:b/>
                <w:lang w:val="uk-UA"/>
              </w:rPr>
            </w:pPr>
            <w:r w:rsidRPr="00E26EA0">
              <w:rPr>
                <w:b/>
                <w:lang w:val="uk-UA"/>
              </w:rPr>
              <w:t>Зміни у законодавстві за напрямами</w:t>
            </w:r>
          </w:p>
        </w:tc>
      </w:tr>
      <w:tr w:rsidR="00F75E94" w:rsidRPr="00E26EA0" w:rsidTr="004A24B0">
        <w:trPr>
          <w:jc w:val="center"/>
        </w:trPr>
        <w:tc>
          <w:tcPr>
            <w:tcW w:w="828" w:type="dxa"/>
            <w:vMerge/>
          </w:tcPr>
          <w:p w:rsidR="00F75E94" w:rsidRPr="00E26EA0" w:rsidRDefault="00F75E94" w:rsidP="004A24B0">
            <w:pPr>
              <w:tabs>
                <w:tab w:val="left" w:pos="2340"/>
              </w:tabs>
              <w:jc w:val="center"/>
              <w:rPr>
                <w:b/>
                <w:lang w:val="uk-UA"/>
              </w:rPr>
            </w:pPr>
          </w:p>
        </w:tc>
        <w:tc>
          <w:tcPr>
            <w:tcW w:w="1608" w:type="dxa"/>
            <w:vMerge/>
          </w:tcPr>
          <w:p w:rsidR="00F75E94" w:rsidRPr="00E26EA0" w:rsidRDefault="00F75E94" w:rsidP="004A24B0">
            <w:pPr>
              <w:tabs>
                <w:tab w:val="left" w:pos="2340"/>
              </w:tabs>
              <w:jc w:val="center"/>
              <w:rPr>
                <w:b/>
                <w:lang w:val="uk-UA"/>
              </w:rPr>
            </w:pPr>
          </w:p>
        </w:tc>
        <w:tc>
          <w:tcPr>
            <w:tcW w:w="2963" w:type="dxa"/>
            <w:vMerge/>
          </w:tcPr>
          <w:p w:rsidR="00F75E94" w:rsidRPr="00E26EA0" w:rsidRDefault="00F75E94" w:rsidP="004A24B0">
            <w:pPr>
              <w:tabs>
                <w:tab w:val="left" w:pos="2340"/>
              </w:tabs>
              <w:jc w:val="center"/>
              <w:rPr>
                <w:b/>
                <w:lang w:val="uk-UA"/>
              </w:rPr>
            </w:pPr>
          </w:p>
        </w:tc>
        <w:tc>
          <w:tcPr>
            <w:tcW w:w="3501" w:type="dxa"/>
            <w:vAlign w:val="center"/>
          </w:tcPr>
          <w:p w:rsidR="00F75E94" w:rsidRPr="00E26EA0" w:rsidRDefault="00F75E94" w:rsidP="004A24B0">
            <w:pPr>
              <w:tabs>
                <w:tab w:val="left" w:pos="2340"/>
              </w:tabs>
              <w:jc w:val="center"/>
              <w:rPr>
                <w:b/>
                <w:lang w:val="uk-UA"/>
              </w:rPr>
            </w:pPr>
            <w:r w:rsidRPr="00E26EA0">
              <w:rPr>
                <w:b/>
                <w:lang w:val="uk-UA"/>
              </w:rPr>
              <w:t>податкове</w:t>
            </w:r>
          </w:p>
        </w:tc>
        <w:tc>
          <w:tcPr>
            <w:tcW w:w="3347" w:type="dxa"/>
            <w:vAlign w:val="center"/>
          </w:tcPr>
          <w:p w:rsidR="00F75E94" w:rsidRPr="00E26EA0" w:rsidRDefault="00F75E94" w:rsidP="004A24B0">
            <w:pPr>
              <w:tabs>
                <w:tab w:val="left" w:pos="2340"/>
              </w:tabs>
              <w:jc w:val="center"/>
              <w:rPr>
                <w:b/>
                <w:lang w:val="uk-UA"/>
              </w:rPr>
            </w:pPr>
            <w:r w:rsidRPr="00E26EA0">
              <w:rPr>
                <w:b/>
                <w:lang w:val="uk-UA"/>
              </w:rPr>
              <w:t xml:space="preserve">єдиний внесок на загальнообов’язкове державне соціальне страхування </w:t>
            </w:r>
          </w:p>
          <w:p w:rsidR="00F75E94" w:rsidRPr="00E26EA0" w:rsidRDefault="00F75E94" w:rsidP="004A24B0">
            <w:pPr>
              <w:tabs>
                <w:tab w:val="left" w:pos="2340"/>
              </w:tabs>
              <w:jc w:val="center"/>
              <w:rPr>
                <w:b/>
                <w:lang w:val="uk-UA"/>
              </w:rPr>
            </w:pPr>
            <w:r w:rsidRPr="00E26EA0">
              <w:rPr>
                <w:b/>
                <w:lang w:val="uk-UA"/>
              </w:rPr>
              <w:t>(далі – єдиний внесок)</w:t>
            </w:r>
          </w:p>
        </w:tc>
        <w:tc>
          <w:tcPr>
            <w:tcW w:w="3309" w:type="dxa"/>
            <w:vAlign w:val="center"/>
          </w:tcPr>
          <w:p w:rsidR="00F75E94" w:rsidRPr="00E26EA0" w:rsidRDefault="00F75E94" w:rsidP="004A24B0">
            <w:pPr>
              <w:tabs>
                <w:tab w:val="left" w:pos="2340"/>
              </w:tabs>
              <w:jc w:val="center"/>
              <w:rPr>
                <w:b/>
                <w:lang w:val="uk-UA"/>
              </w:rPr>
            </w:pPr>
            <w:r w:rsidRPr="00E26EA0">
              <w:rPr>
                <w:b/>
                <w:lang w:val="uk-UA"/>
              </w:rPr>
              <w:t>інше</w:t>
            </w:r>
          </w:p>
        </w:tc>
      </w:tr>
      <w:tr w:rsidR="00F75E94" w:rsidRPr="00E26EA0" w:rsidTr="004A24B0">
        <w:trPr>
          <w:jc w:val="center"/>
        </w:trPr>
        <w:tc>
          <w:tcPr>
            <w:tcW w:w="15556" w:type="dxa"/>
            <w:gridSpan w:val="6"/>
          </w:tcPr>
          <w:p w:rsidR="00F75E94" w:rsidRPr="00E26EA0" w:rsidRDefault="00F75E94" w:rsidP="00384968">
            <w:pPr>
              <w:tabs>
                <w:tab w:val="left" w:pos="2340"/>
              </w:tabs>
              <w:ind w:firstLine="149"/>
              <w:jc w:val="center"/>
              <w:rPr>
                <w:b/>
                <w:lang w:val="uk-UA"/>
              </w:rPr>
            </w:pPr>
            <w:r w:rsidRPr="00E26EA0">
              <w:rPr>
                <w:b/>
                <w:lang w:val="uk-UA"/>
              </w:rPr>
              <w:t xml:space="preserve">Набрали чинності з 01.08.2022 по 07.08.2022 </w:t>
            </w:r>
            <w:r w:rsidRPr="00E26EA0">
              <w:rPr>
                <w:b/>
                <w:i/>
                <w:lang w:val="uk-UA"/>
              </w:rPr>
              <w:t>(документи відсутні)</w:t>
            </w:r>
          </w:p>
        </w:tc>
      </w:tr>
      <w:tr w:rsidR="00F75E94" w:rsidRPr="00E26EA0" w:rsidTr="004A24B0">
        <w:trPr>
          <w:jc w:val="center"/>
        </w:trPr>
        <w:tc>
          <w:tcPr>
            <w:tcW w:w="15556" w:type="dxa"/>
            <w:gridSpan w:val="6"/>
          </w:tcPr>
          <w:p w:rsidR="00F75E94" w:rsidRPr="00E26EA0" w:rsidRDefault="00F75E94" w:rsidP="004A24B0">
            <w:pPr>
              <w:tabs>
                <w:tab w:val="left" w:pos="2340"/>
              </w:tabs>
              <w:ind w:firstLine="149"/>
              <w:jc w:val="center"/>
              <w:rPr>
                <w:b/>
                <w:lang w:val="uk-UA"/>
              </w:rPr>
            </w:pPr>
            <w:r w:rsidRPr="00E26EA0">
              <w:rPr>
                <w:b/>
                <w:lang w:val="uk-UA"/>
              </w:rPr>
              <w:t>Набрали чинності з 08.08.2022 по 14.08.2022</w:t>
            </w:r>
          </w:p>
        </w:tc>
      </w:tr>
      <w:tr w:rsidR="00F75E94" w:rsidRPr="00E26EA0" w:rsidTr="00E77EFB">
        <w:trPr>
          <w:jc w:val="center"/>
        </w:trPr>
        <w:tc>
          <w:tcPr>
            <w:tcW w:w="828" w:type="dxa"/>
          </w:tcPr>
          <w:p w:rsidR="00F75E94" w:rsidRPr="00E26EA0" w:rsidRDefault="00F75E94" w:rsidP="00E77EFB">
            <w:pPr>
              <w:tabs>
                <w:tab w:val="left" w:pos="2340"/>
              </w:tabs>
              <w:jc w:val="center"/>
              <w:rPr>
                <w:lang w:val="uk-UA"/>
              </w:rPr>
            </w:pPr>
            <w:r w:rsidRPr="00E26EA0">
              <w:rPr>
                <w:lang w:val="uk-UA"/>
              </w:rPr>
              <w:t>1</w:t>
            </w:r>
          </w:p>
        </w:tc>
        <w:tc>
          <w:tcPr>
            <w:tcW w:w="1608" w:type="dxa"/>
          </w:tcPr>
          <w:p w:rsidR="00F75E94" w:rsidRPr="00E26EA0" w:rsidRDefault="00F75E94" w:rsidP="00E77EFB">
            <w:pPr>
              <w:tabs>
                <w:tab w:val="left" w:pos="2340"/>
              </w:tabs>
              <w:jc w:val="center"/>
              <w:rPr>
                <w:lang w:val="uk-UA"/>
              </w:rPr>
            </w:pPr>
            <w:r w:rsidRPr="00E26EA0">
              <w:rPr>
                <w:lang w:val="uk-UA"/>
              </w:rPr>
              <w:t>09.08.2022</w:t>
            </w:r>
          </w:p>
        </w:tc>
        <w:tc>
          <w:tcPr>
            <w:tcW w:w="2963" w:type="dxa"/>
          </w:tcPr>
          <w:p w:rsidR="00F75E94" w:rsidRPr="00E26EA0" w:rsidRDefault="00F75E94" w:rsidP="00CA5470">
            <w:pPr>
              <w:tabs>
                <w:tab w:val="left" w:pos="2340"/>
              </w:tabs>
              <w:ind w:firstLine="416"/>
              <w:jc w:val="both"/>
              <w:rPr>
                <w:b/>
                <w:i/>
                <w:lang w:val="uk-UA"/>
              </w:rPr>
            </w:pPr>
            <w:r w:rsidRPr="00E26EA0">
              <w:rPr>
                <w:b/>
                <w:i/>
                <w:lang w:val="uk-UA"/>
              </w:rPr>
              <w:t xml:space="preserve">Наказ Міністерства фінансів України </w:t>
            </w:r>
            <w:r w:rsidRPr="00E26EA0">
              <w:rPr>
                <w:lang w:val="uk-UA"/>
              </w:rPr>
              <w:t>(далі – МФУ)</w:t>
            </w:r>
            <w:r w:rsidRPr="00E26EA0">
              <w:rPr>
                <w:b/>
                <w:i/>
                <w:lang w:val="uk-UA"/>
              </w:rPr>
              <w:t xml:space="preserve"> від 04.07.2022 № 189</w:t>
            </w:r>
            <w:r w:rsidRPr="00E26EA0">
              <w:rPr>
                <w:lang w:val="uk-UA"/>
              </w:rPr>
              <w:t xml:space="preserve"> «Про внесення змін до наказу Міністерства фінансів України від 13 січня 2015 року № 4» </w:t>
            </w:r>
            <w:r w:rsidRPr="00E26EA0">
              <w:rPr>
                <w:shd w:val="clear" w:color="auto" w:fill="FFFFFF"/>
                <w:lang w:val="uk-UA"/>
              </w:rPr>
              <w:t>(зі змінами, внесеними наказом МФУ від 25.07.2022 № 215)</w:t>
            </w:r>
            <w:r w:rsidRPr="00E26EA0">
              <w:rPr>
                <w:lang w:val="uk-UA"/>
              </w:rPr>
              <w:t xml:space="preserve"> (далі – </w:t>
            </w:r>
            <w:r w:rsidRPr="00E26EA0">
              <w:rPr>
                <w:b/>
                <w:i/>
                <w:lang w:val="uk-UA"/>
              </w:rPr>
              <w:t>Наказ № 189</w:t>
            </w:r>
            <w:r w:rsidRPr="00E26EA0">
              <w:rPr>
                <w:lang w:val="uk-UA"/>
              </w:rPr>
              <w:t xml:space="preserve">) </w:t>
            </w:r>
          </w:p>
        </w:tc>
        <w:tc>
          <w:tcPr>
            <w:tcW w:w="3501" w:type="dxa"/>
          </w:tcPr>
          <w:p w:rsidR="00F75E94" w:rsidRPr="00E26EA0" w:rsidRDefault="00F75E94" w:rsidP="00CA5470">
            <w:pPr>
              <w:pStyle w:val="NormalWeb"/>
              <w:shd w:val="clear" w:color="auto" w:fill="FFFFFF"/>
              <w:spacing w:before="0" w:beforeAutospacing="0" w:after="120" w:afterAutospacing="0"/>
              <w:ind w:firstLine="333"/>
              <w:jc w:val="both"/>
              <w:textAlignment w:val="baseline"/>
            </w:pPr>
            <w:r w:rsidRPr="00E26EA0">
              <w:rPr>
                <w:b/>
                <w:i/>
                <w:lang w:val="uk-UA"/>
              </w:rPr>
              <w:t xml:space="preserve">Наказом № 189 </w:t>
            </w:r>
            <w:r w:rsidRPr="00E26EA0">
              <w:rPr>
                <w:shd w:val="clear" w:color="auto" w:fill="FFFFFF"/>
              </w:rPr>
              <w:t>внесено зміни до форми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E26EA0">
              <w:rPr>
                <w:shd w:val="clear" w:color="auto" w:fill="FFFFFF"/>
                <w:lang w:val="uk-UA"/>
              </w:rPr>
              <w:t>,</w:t>
            </w:r>
            <w:r w:rsidRPr="00E26EA0">
              <w:rPr>
                <w:rFonts w:ascii="Arial" w:hAnsi="Arial" w:cs="Arial"/>
                <w:sz w:val="27"/>
                <w:szCs w:val="27"/>
              </w:rPr>
              <w:t xml:space="preserve"> </w:t>
            </w:r>
            <w:r w:rsidRPr="00E26EA0">
              <w:t>зокрема:</w:t>
            </w:r>
          </w:p>
          <w:p w:rsidR="00F75E94" w:rsidRPr="00E26EA0" w:rsidRDefault="00F75E94" w:rsidP="00CA5470">
            <w:pPr>
              <w:pStyle w:val="NormalWeb"/>
              <w:shd w:val="clear" w:color="auto" w:fill="FFFFFF"/>
              <w:spacing w:before="0" w:beforeAutospacing="0" w:after="120" w:afterAutospacing="0"/>
              <w:ind w:firstLine="333"/>
              <w:jc w:val="both"/>
              <w:textAlignment w:val="baseline"/>
            </w:pPr>
            <w:r w:rsidRPr="00E26EA0">
              <w:t>- доповнено новими рядками 1.6, 2.6, 3.7, 4.4 та 6.4 розділ І Розрахунку для відображення сум нарахованої заробітної плати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 та сум єдиного внеску на загальнообов’язкове державне соціальне страхування, нарахованого (донарахованого) на такі суми;</w:t>
            </w:r>
          </w:p>
          <w:p w:rsidR="00F75E94" w:rsidRPr="00E26EA0" w:rsidRDefault="00F75E94" w:rsidP="00CA5470">
            <w:pPr>
              <w:pStyle w:val="NormalWeb"/>
              <w:shd w:val="clear" w:color="auto" w:fill="FFFFFF"/>
              <w:spacing w:before="0" w:beforeAutospacing="0" w:after="120" w:afterAutospacing="0"/>
              <w:ind w:firstLine="333"/>
              <w:jc w:val="both"/>
              <w:textAlignment w:val="baseline"/>
            </w:pPr>
            <w:r w:rsidRPr="00E26EA0">
              <w:t>- доповнено новим рядком «Доходи від продажу сільськогосподарської продукції» розділ ІІ додатка 4ДФ до Розрахунку;</w:t>
            </w:r>
          </w:p>
          <w:p w:rsidR="00F75E94" w:rsidRPr="00E26EA0" w:rsidRDefault="00F75E94" w:rsidP="00CA5470">
            <w:pPr>
              <w:pStyle w:val="NormalWeb"/>
              <w:shd w:val="clear" w:color="auto" w:fill="FFFFFF"/>
              <w:spacing w:before="0" w:beforeAutospacing="0" w:after="120" w:afterAutospacing="0"/>
              <w:ind w:firstLine="333"/>
              <w:jc w:val="both"/>
              <w:textAlignment w:val="baseline"/>
              <w:rPr>
                <w:lang w:val="uk-UA"/>
              </w:rPr>
            </w:pPr>
            <w:r w:rsidRPr="00E26EA0">
              <w:t>- викладено у новій редакції додаток 2 до Розрахунку</w:t>
            </w:r>
          </w:p>
        </w:tc>
        <w:tc>
          <w:tcPr>
            <w:tcW w:w="3347" w:type="dxa"/>
          </w:tcPr>
          <w:p w:rsidR="00F75E94" w:rsidRPr="00E26EA0" w:rsidRDefault="00F75E94" w:rsidP="00E77EFB">
            <w:pPr>
              <w:tabs>
                <w:tab w:val="left" w:pos="2340"/>
              </w:tabs>
              <w:ind w:firstLine="255"/>
              <w:jc w:val="both"/>
              <w:rPr>
                <w:lang w:val="uk-UA" w:eastAsia="uk-UA"/>
              </w:rPr>
            </w:pPr>
          </w:p>
        </w:tc>
        <w:tc>
          <w:tcPr>
            <w:tcW w:w="3309" w:type="dxa"/>
          </w:tcPr>
          <w:p w:rsidR="00F75E94" w:rsidRPr="00E26EA0" w:rsidRDefault="00F75E94" w:rsidP="00E77EFB">
            <w:pPr>
              <w:pStyle w:val="NormalWeb"/>
              <w:shd w:val="clear" w:color="auto" w:fill="FFFFFF"/>
              <w:spacing w:before="0" w:beforeAutospacing="0" w:after="0" w:afterAutospacing="0"/>
              <w:ind w:firstLine="276"/>
              <w:jc w:val="both"/>
              <w:textAlignment w:val="baseline"/>
              <w:rPr>
                <w:lang w:val="uk-UA" w:eastAsia="uk-UA"/>
              </w:rPr>
            </w:pPr>
          </w:p>
        </w:tc>
      </w:tr>
      <w:tr w:rsidR="00F75E94" w:rsidRPr="00E26EA0" w:rsidTr="00E77EFB">
        <w:trPr>
          <w:trHeight w:val="498"/>
          <w:jc w:val="center"/>
        </w:trPr>
        <w:tc>
          <w:tcPr>
            <w:tcW w:w="828" w:type="dxa"/>
          </w:tcPr>
          <w:p w:rsidR="00F75E94" w:rsidRPr="00E26EA0" w:rsidRDefault="00F75E94" w:rsidP="00E77EFB">
            <w:pPr>
              <w:tabs>
                <w:tab w:val="left" w:pos="2340"/>
              </w:tabs>
              <w:jc w:val="center"/>
              <w:rPr>
                <w:lang w:val="uk-UA"/>
              </w:rPr>
            </w:pPr>
            <w:r w:rsidRPr="00E26EA0">
              <w:rPr>
                <w:lang w:val="uk-UA"/>
              </w:rPr>
              <w:t>2</w:t>
            </w:r>
          </w:p>
        </w:tc>
        <w:tc>
          <w:tcPr>
            <w:tcW w:w="1608" w:type="dxa"/>
          </w:tcPr>
          <w:p w:rsidR="00F75E94" w:rsidRPr="00E26EA0" w:rsidRDefault="00F75E94" w:rsidP="00E77EFB">
            <w:pPr>
              <w:tabs>
                <w:tab w:val="left" w:pos="2340"/>
              </w:tabs>
              <w:jc w:val="center"/>
              <w:rPr>
                <w:lang w:val="uk-UA"/>
              </w:rPr>
            </w:pPr>
            <w:r w:rsidRPr="00E26EA0">
              <w:rPr>
                <w:lang w:val="uk-UA"/>
              </w:rPr>
              <w:t>09.08.2022</w:t>
            </w:r>
          </w:p>
        </w:tc>
        <w:tc>
          <w:tcPr>
            <w:tcW w:w="2963" w:type="dxa"/>
          </w:tcPr>
          <w:p w:rsidR="00F75E94" w:rsidRPr="00E26EA0" w:rsidRDefault="00F75E94" w:rsidP="00CA5470">
            <w:pPr>
              <w:tabs>
                <w:tab w:val="left" w:pos="2340"/>
              </w:tabs>
              <w:ind w:firstLine="416"/>
              <w:jc w:val="both"/>
              <w:rPr>
                <w:b/>
                <w:i/>
                <w:lang w:val="uk-UA"/>
              </w:rPr>
            </w:pPr>
            <w:r w:rsidRPr="00CA5470">
              <w:rPr>
                <w:b/>
                <w:i/>
                <w:shd w:val="clear" w:color="auto" w:fill="FFFFFF"/>
                <w:lang w:val="uk-UA"/>
              </w:rPr>
              <w:t xml:space="preserve">Наказ МФУ </w:t>
            </w:r>
            <w:r w:rsidRPr="00CA5470">
              <w:rPr>
                <w:b/>
                <w:i/>
                <w:shd w:val="clear" w:color="auto" w:fill="FFFFFF"/>
              </w:rPr>
              <w:t>від 12.07.2022 №</w:t>
            </w:r>
            <w:r w:rsidRPr="00CA5470">
              <w:rPr>
                <w:b/>
                <w:i/>
                <w:shd w:val="clear" w:color="auto" w:fill="FFFFFF"/>
                <w:lang w:val="uk-UA"/>
              </w:rPr>
              <w:t xml:space="preserve"> </w:t>
            </w:r>
            <w:r w:rsidRPr="00CA5470">
              <w:rPr>
                <w:b/>
                <w:i/>
                <w:shd w:val="clear" w:color="auto" w:fill="FFFFFF"/>
              </w:rPr>
              <w:t>196</w:t>
            </w:r>
            <w:r w:rsidRPr="00E26EA0">
              <w:rPr>
                <w:shd w:val="clear" w:color="auto" w:fill="FFFFFF"/>
              </w:rPr>
              <w:t xml:space="preserve"> (зареєстрований в Мін</w:t>
            </w:r>
            <w:r w:rsidRPr="00E26EA0">
              <w:rPr>
                <w:shd w:val="clear" w:color="auto" w:fill="FFFFFF"/>
                <w:lang w:val="uk-UA"/>
              </w:rPr>
              <w:t>істерстві Юстиції України</w:t>
            </w:r>
            <w:r w:rsidRPr="00E26EA0">
              <w:rPr>
                <w:shd w:val="clear" w:color="auto" w:fill="FFFFFF"/>
              </w:rPr>
              <w:t xml:space="preserve"> 27.07.2022</w:t>
            </w:r>
            <w:r w:rsidRPr="00E26EA0">
              <w:rPr>
                <w:shd w:val="clear" w:color="auto" w:fill="FFFFFF"/>
                <w:lang w:val="uk-UA"/>
              </w:rPr>
              <w:t xml:space="preserve"> року</w:t>
            </w:r>
            <w:r w:rsidRPr="00E26EA0">
              <w:rPr>
                <w:shd w:val="clear" w:color="auto" w:fill="FFFFFF"/>
              </w:rPr>
              <w:t xml:space="preserve"> за №842/381788)</w:t>
            </w:r>
            <w:r w:rsidRPr="00E26EA0">
              <w:rPr>
                <w:shd w:val="clear" w:color="auto" w:fill="FFFFFF"/>
                <w:lang w:val="uk-UA"/>
              </w:rPr>
              <w:t xml:space="preserve"> (далі – </w:t>
            </w:r>
            <w:r w:rsidRPr="00E26EA0">
              <w:rPr>
                <w:b/>
                <w:i/>
                <w:shd w:val="clear" w:color="auto" w:fill="FFFFFF"/>
                <w:lang w:val="uk-UA"/>
              </w:rPr>
              <w:t>Наказ № 196</w:t>
            </w:r>
            <w:r w:rsidRPr="00E26EA0">
              <w:rPr>
                <w:shd w:val="clear" w:color="auto" w:fill="FFFFFF"/>
                <w:lang w:val="uk-UA"/>
              </w:rPr>
              <w:t>)</w:t>
            </w:r>
          </w:p>
        </w:tc>
        <w:tc>
          <w:tcPr>
            <w:tcW w:w="3501" w:type="dxa"/>
          </w:tcPr>
          <w:p w:rsidR="00F75E94" w:rsidRPr="00E26EA0" w:rsidRDefault="00F75E94" w:rsidP="00CA5470">
            <w:pPr>
              <w:pStyle w:val="NormalWeb"/>
              <w:shd w:val="clear" w:color="auto" w:fill="FFFFFF"/>
              <w:spacing w:before="0" w:beforeAutospacing="0" w:after="0" w:afterAutospacing="0"/>
              <w:ind w:firstLine="333"/>
              <w:jc w:val="both"/>
              <w:textAlignment w:val="baseline"/>
              <w:rPr>
                <w:shd w:val="clear" w:color="auto" w:fill="FFFFFF"/>
              </w:rPr>
            </w:pPr>
            <w:r w:rsidRPr="00E26EA0">
              <w:rPr>
                <w:b/>
                <w:i/>
                <w:shd w:val="clear" w:color="auto" w:fill="FFFFFF"/>
                <w:lang w:val="uk-UA"/>
              </w:rPr>
              <w:t xml:space="preserve">Наказ № 196 </w:t>
            </w:r>
            <w:r w:rsidRPr="00E26EA0">
              <w:rPr>
                <w:shd w:val="clear" w:color="auto" w:fill="FFFFFF"/>
                <w:lang w:val="uk-UA"/>
              </w:rPr>
              <w:t>в</w:t>
            </w:r>
            <w:r w:rsidRPr="00E26EA0">
              <w:rPr>
                <w:shd w:val="clear" w:color="auto" w:fill="FFFFFF"/>
              </w:rPr>
              <w:t>ідповідно до </w:t>
            </w:r>
            <w:r w:rsidRPr="00E26EA0">
              <w:t>Закону України від 30</w:t>
            </w:r>
            <w:r w:rsidRPr="00E26EA0">
              <w:rPr>
                <w:lang w:val="uk-UA"/>
              </w:rPr>
              <w:t> </w:t>
            </w:r>
            <w:r w:rsidRPr="00E26EA0">
              <w:t xml:space="preserve">листопада 2021 року </w:t>
            </w:r>
            <w:r w:rsidRPr="00E26EA0">
              <w:rPr>
                <w:lang w:val="uk-UA"/>
              </w:rPr>
              <w:t>№ </w:t>
            </w:r>
            <w:r w:rsidRPr="00E26EA0">
              <w:t xml:space="preserve">1914-IX </w:t>
            </w:r>
            <w:r w:rsidRPr="00E26EA0">
              <w:rPr>
                <w:lang w:val="uk-UA"/>
              </w:rPr>
              <w:t>«</w:t>
            </w:r>
            <w:r w:rsidRPr="00E26EA0">
              <w:t>Про внесення змін до Податкового кодексу України та інших законодавчих актів України щодо забезпечення збалансованості бюджетних надходжень</w:t>
            </w:r>
            <w:r w:rsidRPr="00E26EA0">
              <w:rPr>
                <w:lang w:val="uk-UA"/>
              </w:rPr>
              <w:t>»</w:t>
            </w:r>
            <w:r w:rsidRPr="00E26EA0">
              <w:rPr>
                <w:rFonts w:ascii="Arial" w:hAnsi="Arial" w:cs="Arial"/>
                <w:shd w:val="clear" w:color="auto" w:fill="FFFFFF"/>
              </w:rPr>
              <w:t>, </w:t>
            </w:r>
            <w:r w:rsidRPr="00E26EA0">
              <w:t>статті 59 глави 4 розділу II Податкового кодексу України</w:t>
            </w:r>
            <w:r w:rsidRPr="00E26EA0">
              <w:rPr>
                <w:lang w:val="uk-UA"/>
              </w:rPr>
              <w:t xml:space="preserve"> </w:t>
            </w:r>
            <w:r w:rsidRPr="00E26EA0">
              <w:rPr>
                <w:shd w:val="clear" w:color="auto" w:fill="FFFFFF"/>
                <w:lang w:val="uk-UA"/>
              </w:rPr>
              <w:t xml:space="preserve">Уряд </w:t>
            </w:r>
            <w:r w:rsidRPr="00E26EA0">
              <w:rPr>
                <w:shd w:val="clear" w:color="auto" w:fill="FFFFFF"/>
              </w:rPr>
              <w:t>затвердив зміни до Порядку направлення податковими органами податкових вимог платникам податків</w:t>
            </w:r>
            <w:r w:rsidRPr="00E26EA0">
              <w:rPr>
                <w:shd w:val="clear" w:color="auto" w:fill="FFFFFF"/>
                <w:lang w:val="uk-UA"/>
              </w:rPr>
              <w:t xml:space="preserve"> (далі – Порядок)</w:t>
            </w:r>
            <w:r w:rsidRPr="00E26EA0">
              <w:rPr>
                <w:shd w:val="clear" w:color="auto" w:fill="FFFFFF"/>
              </w:rPr>
              <w:t>.</w:t>
            </w:r>
          </w:p>
          <w:p w:rsidR="00F75E94" w:rsidRPr="00E26EA0" w:rsidRDefault="00F75E94" w:rsidP="00CA5470">
            <w:pPr>
              <w:shd w:val="clear" w:color="auto" w:fill="FFFFFF"/>
              <w:ind w:firstLine="333"/>
              <w:jc w:val="both"/>
              <w:rPr>
                <w:lang w:eastAsia="uk-UA"/>
              </w:rPr>
            </w:pPr>
            <w:r w:rsidRPr="00E26EA0">
              <w:rPr>
                <w:lang w:eastAsia="uk-UA"/>
              </w:rPr>
              <w:t>Зокрема, </w:t>
            </w:r>
            <w:r w:rsidRPr="00E26EA0">
              <w:rPr>
                <w:bCs/>
                <w:lang w:eastAsia="uk-UA"/>
              </w:rPr>
              <w:t>у Порядку уточнюється, що:</w:t>
            </w:r>
          </w:p>
          <w:p w:rsidR="00F75E94" w:rsidRPr="00E26EA0" w:rsidRDefault="00F75E94" w:rsidP="00CA5470">
            <w:pPr>
              <w:numPr>
                <w:ilvl w:val="0"/>
                <w:numId w:val="2"/>
              </w:numPr>
              <w:shd w:val="clear" w:color="auto" w:fill="FFFFFF"/>
              <w:ind w:left="0" w:firstLine="333"/>
              <w:jc w:val="both"/>
              <w:rPr>
                <w:lang w:eastAsia="uk-UA"/>
              </w:rPr>
            </w:pPr>
            <w:r w:rsidRPr="00E26EA0">
              <w:rPr>
                <w:lang w:eastAsia="uk-UA"/>
              </w:rPr>
              <w:t>протягом періоду оскарження платником податків відповідно до статті 56 ПКУ суми грошових зобов’язань, визначених податковим органом відповідно до ПКУ та інших законодавчих актів, податкова вимога з податку, що оскаржується, не формується та не надсилається, а сума такого грошового зобов’язання вважається неузгодженою;</w:t>
            </w:r>
          </w:p>
          <w:p w:rsidR="00F75E94" w:rsidRPr="00E26EA0" w:rsidRDefault="00F75E94" w:rsidP="00CA5470">
            <w:pPr>
              <w:numPr>
                <w:ilvl w:val="0"/>
                <w:numId w:val="2"/>
              </w:numPr>
              <w:shd w:val="clear" w:color="auto" w:fill="FFFFFF"/>
              <w:spacing w:before="100" w:beforeAutospacing="1" w:after="100" w:afterAutospacing="1"/>
              <w:ind w:left="0" w:firstLine="333"/>
              <w:jc w:val="both"/>
              <w:rPr>
                <w:lang w:eastAsia="uk-UA"/>
              </w:rPr>
            </w:pPr>
            <w:r w:rsidRPr="00E26EA0">
              <w:rPr>
                <w:lang w:eastAsia="uk-UA"/>
              </w:rPr>
              <w:t>до податкової вимоги додається детальний розрахунок суми податкового боргу;</w:t>
            </w:r>
          </w:p>
          <w:p w:rsidR="00F75E94" w:rsidRPr="00E26EA0" w:rsidRDefault="00F75E94" w:rsidP="00CA5470">
            <w:pPr>
              <w:numPr>
                <w:ilvl w:val="0"/>
                <w:numId w:val="2"/>
              </w:numPr>
              <w:shd w:val="clear" w:color="auto" w:fill="FFFFFF"/>
              <w:spacing w:before="100" w:beforeAutospacing="1" w:after="100" w:afterAutospacing="1"/>
              <w:ind w:left="0" w:firstLine="333"/>
              <w:jc w:val="both"/>
              <w:rPr>
                <w:lang w:eastAsia="uk-UA"/>
              </w:rPr>
            </w:pPr>
            <w:r w:rsidRPr="00E26EA0">
              <w:rPr>
                <w:lang w:eastAsia="uk-UA"/>
              </w:rPr>
              <w:t>у разі направлення платнику податків податкової вимоги в Електронний кабінет до реєстру вимог автоматично вноситься інформація про її доставку в Електронний кабінет з квитанції про доставку, а паперова копія вимоги та квитанції друкується та долучається до справи платника податків;</w:t>
            </w:r>
          </w:p>
          <w:p w:rsidR="00F75E94" w:rsidRPr="00E26EA0" w:rsidRDefault="00F75E94" w:rsidP="00CA5470">
            <w:pPr>
              <w:numPr>
                <w:ilvl w:val="0"/>
                <w:numId w:val="2"/>
              </w:numPr>
              <w:shd w:val="clear" w:color="auto" w:fill="FFFFFF"/>
              <w:spacing w:before="100" w:beforeAutospacing="1" w:after="100" w:afterAutospacing="1"/>
              <w:ind w:left="0" w:firstLine="333"/>
              <w:jc w:val="both"/>
              <w:rPr>
                <w:lang w:eastAsia="uk-UA"/>
              </w:rPr>
            </w:pPr>
            <w:r w:rsidRPr="00E26EA0">
              <w:rPr>
                <w:lang w:eastAsia="uk-UA"/>
              </w:rPr>
              <w:t>інформація про відкликання податкової вимоги вноситься податковим керуючим до реєстру податкових вимог</w:t>
            </w:r>
          </w:p>
        </w:tc>
        <w:tc>
          <w:tcPr>
            <w:tcW w:w="3347" w:type="dxa"/>
          </w:tcPr>
          <w:p w:rsidR="00F75E94" w:rsidRPr="00E26EA0" w:rsidRDefault="00F75E94" w:rsidP="00E77EFB">
            <w:pPr>
              <w:tabs>
                <w:tab w:val="left" w:pos="2340"/>
              </w:tabs>
              <w:ind w:firstLine="255"/>
              <w:jc w:val="both"/>
              <w:rPr>
                <w:lang w:val="uk-UA" w:eastAsia="uk-UA"/>
              </w:rPr>
            </w:pPr>
          </w:p>
        </w:tc>
        <w:tc>
          <w:tcPr>
            <w:tcW w:w="3309" w:type="dxa"/>
          </w:tcPr>
          <w:p w:rsidR="00F75E94" w:rsidRPr="00E26EA0" w:rsidRDefault="00F75E94" w:rsidP="00E77EFB">
            <w:pPr>
              <w:pStyle w:val="NormalWeb"/>
              <w:shd w:val="clear" w:color="auto" w:fill="FFFFFF"/>
              <w:spacing w:before="0" w:beforeAutospacing="0" w:after="0" w:afterAutospacing="0"/>
              <w:ind w:firstLine="276"/>
              <w:jc w:val="both"/>
              <w:textAlignment w:val="baseline"/>
              <w:rPr>
                <w:lang w:val="uk-UA" w:eastAsia="uk-UA"/>
              </w:rPr>
            </w:pP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2</w:t>
            </w:r>
          </w:p>
        </w:tc>
        <w:tc>
          <w:tcPr>
            <w:tcW w:w="1608" w:type="dxa"/>
          </w:tcPr>
          <w:p w:rsidR="00F75E94" w:rsidRPr="00E26EA0" w:rsidRDefault="00F75E94" w:rsidP="004A24B0">
            <w:pPr>
              <w:tabs>
                <w:tab w:val="left" w:pos="2340"/>
              </w:tabs>
              <w:jc w:val="center"/>
              <w:rPr>
                <w:lang w:val="uk-UA"/>
              </w:rPr>
            </w:pPr>
            <w:r w:rsidRPr="00E26EA0">
              <w:rPr>
                <w:lang w:val="uk-UA"/>
              </w:rPr>
              <w:t>10.08.2022</w:t>
            </w:r>
          </w:p>
        </w:tc>
        <w:tc>
          <w:tcPr>
            <w:tcW w:w="2963" w:type="dxa"/>
          </w:tcPr>
          <w:p w:rsidR="00F75E94" w:rsidRPr="00E26EA0" w:rsidRDefault="00F75E94" w:rsidP="00CA5470">
            <w:pPr>
              <w:shd w:val="clear" w:color="auto" w:fill="FFFFFF"/>
              <w:ind w:firstLine="416"/>
              <w:jc w:val="both"/>
              <w:rPr>
                <w:b/>
                <w:bCs/>
                <w:i/>
                <w:lang w:val="uk-UA"/>
              </w:rPr>
            </w:pPr>
            <w:bookmarkStart w:id="1" w:name="n3"/>
            <w:bookmarkEnd w:id="1"/>
            <w:r w:rsidRPr="00E26EA0">
              <w:rPr>
                <w:b/>
                <w:bCs/>
                <w:i/>
                <w:lang w:val="uk-UA"/>
              </w:rPr>
              <w:t>Закон України від</w:t>
            </w:r>
            <w:r w:rsidRPr="00E26EA0">
              <w:rPr>
                <w:rStyle w:val="Heading1Char"/>
                <w:b w:val="0"/>
                <w:bCs w:val="0"/>
                <w:shd w:val="clear" w:color="auto" w:fill="FFFFFF"/>
                <w:lang w:val="uk-UA"/>
              </w:rPr>
              <w:t xml:space="preserve"> </w:t>
            </w:r>
            <w:r w:rsidRPr="00CA5470">
              <w:rPr>
                <w:rStyle w:val="rvts44"/>
                <w:b/>
                <w:bCs/>
                <w:i/>
                <w:shd w:val="clear" w:color="auto" w:fill="FFFFFF"/>
                <w:lang w:val="uk-UA"/>
              </w:rPr>
              <w:t>19 липня 2022 року № 2435-</w:t>
            </w:r>
            <w:r w:rsidRPr="00CA5470">
              <w:rPr>
                <w:rStyle w:val="rvts44"/>
                <w:b/>
                <w:bCs/>
                <w:i/>
                <w:shd w:val="clear" w:color="auto" w:fill="FFFFFF"/>
              </w:rPr>
              <w:t>IX</w:t>
            </w:r>
            <w:r w:rsidRPr="00E26EA0">
              <w:rPr>
                <w:b/>
                <w:bCs/>
                <w:i/>
                <w:lang w:val="uk-UA"/>
              </w:rPr>
              <w:t xml:space="preserve"> </w:t>
            </w:r>
            <w:r w:rsidRPr="00E26EA0">
              <w:rPr>
                <w:bCs/>
                <w:lang w:val="uk-UA"/>
              </w:rPr>
              <w:t>«</w:t>
            </w:r>
            <w:r w:rsidRPr="00E26EA0">
              <w:rPr>
                <w:bCs/>
                <w:shd w:val="clear" w:color="auto" w:fill="FFFFFF"/>
                <w:lang w:val="uk-UA"/>
              </w:rPr>
              <w:t xml:space="preserve">Про внесення змін до Закону України «Про бухгалтерський облік та фінансову звітність в Україні» (далі – </w:t>
            </w:r>
            <w:r w:rsidRPr="00E26EA0">
              <w:rPr>
                <w:b/>
                <w:bCs/>
                <w:i/>
                <w:shd w:val="clear" w:color="auto" w:fill="FFFFFF"/>
                <w:lang w:val="uk-UA"/>
              </w:rPr>
              <w:t>Закон № 2435</w:t>
            </w:r>
            <w:r w:rsidRPr="00E26EA0">
              <w:rPr>
                <w:bCs/>
                <w:shd w:val="clear" w:color="auto" w:fill="FFFFFF"/>
                <w:lang w:val="uk-UA"/>
              </w:rPr>
              <w:t>)</w:t>
            </w:r>
          </w:p>
        </w:tc>
        <w:tc>
          <w:tcPr>
            <w:tcW w:w="3501" w:type="dxa"/>
          </w:tcPr>
          <w:p w:rsidR="00F75E94" w:rsidRPr="00E26EA0" w:rsidRDefault="00F75E94" w:rsidP="00CA5470">
            <w:pPr>
              <w:pStyle w:val="NormalWeb"/>
              <w:shd w:val="clear" w:color="auto" w:fill="FFFFFF"/>
              <w:spacing w:before="0" w:beforeAutospacing="0" w:after="120" w:afterAutospacing="0"/>
              <w:ind w:firstLine="333"/>
              <w:jc w:val="both"/>
              <w:textAlignment w:val="baseline"/>
              <w:rPr>
                <w:rFonts w:ascii="Arial" w:hAnsi="Arial" w:cs="Arial"/>
                <w:sz w:val="27"/>
                <w:szCs w:val="27"/>
                <w:lang w:val="uk-UA"/>
              </w:rPr>
            </w:pPr>
          </w:p>
        </w:tc>
        <w:tc>
          <w:tcPr>
            <w:tcW w:w="3347" w:type="dxa"/>
          </w:tcPr>
          <w:p w:rsidR="00F75E94" w:rsidRPr="00E26EA0" w:rsidRDefault="00F75E94" w:rsidP="00274834">
            <w:pPr>
              <w:shd w:val="clear" w:color="auto" w:fill="FFFFFF"/>
              <w:ind w:left="221"/>
              <w:jc w:val="both"/>
              <w:rPr>
                <w:b/>
                <w:lang w:val="uk-UA" w:eastAsia="uk-UA"/>
              </w:rPr>
            </w:pPr>
          </w:p>
        </w:tc>
        <w:tc>
          <w:tcPr>
            <w:tcW w:w="3309" w:type="dxa"/>
          </w:tcPr>
          <w:p w:rsidR="00F75E94" w:rsidRPr="00E26EA0" w:rsidRDefault="00F75E94" w:rsidP="00274834">
            <w:pPr>
              <w:ind w:firstLine="134"/>
              <w:jc w:val="both"/>
            </w:pPr>
            <w:r w:rsidRPr="00E26EA0">
              <w:rPr>
                <w:b/>
                <w:bCs/>
                <w:i/>
                <w:shd w:val="clear" w:color="auto" w:fill="FFFFFF"/>
                <w:lang w:val="uk-UA"/>
              </w:rPr>
              <w:t xml:space="preserve">Законом № 2435 </w:t>
            </w:r>
            <w:r w:rsidRPr="00E26EA0">
              <w:rPr>
                <w:shd w:val="clear" w:color="auto" w:fill="FFFFFF"/>
              </w:rPr>
              <w:t>уточнено норми щодо формування електронних первинних документів та подання консолідованої фінансової звітності</w:t>
            </w:r>
            <w:r w:rsidRPr="00E26EA0">
              <w:rPr>
                <w:shd w:val="clear" w:color="auto" w:fill="FFFFFF"/>
                <w:lang w:val="uk-UA"/>
              </w:rPr>
              <w:t xml:space="preserve">, </w:t>
            </w:r>
            <w:r w:rsidRPr="00E26EA0">
              <w:t>зокрема:</w:t>
            </w:r>
          </w:p>
          <w:p w:rsidR="00F75E94" w:rsidRPr="00E26EA0" w:rsidRDefault="00F75E94" w:rsidP="00274834">
            <w:pPr>
              <w:pStyle w:val="NormalWeb"/>
              <w:shd w:val="clear" w:color="auto" w:fill="FFFFFF"/>
              <w:spacing w:before="0" w:beforeAutospacing="0" w:after="0" w:afterAutospacing="0"/>
              <w:jc w:val="both"/>
              <w:textAlignment w:val="baseline"/>
            </w:pPr>
            <w:r>
              <w:t>•</w:t>
            </w:r>
            <w:r>
              <w:rPr>
                <w:lang w:val="uk-UA"/>
              </w:rPr>
              <w:t> </w:t>
            </w:r>
            <w:r w:rsidRPr="00E26EA0">
              <w:t>запроваджено категорії груп материнського підприємства та його дочірніх підприємств;</w:t>
            </w:r>
          </w:p>
          <w:p w:rsidR="00F75E94" w:rsidRPr="00E26EA0" w:rsidRDefault="00F75E94" w:rsidP="00274834">
            <w:pPr>
              <w:pStyle w:val="NormalWeb"/>
              <w:shd w:val="clear" w:color="auto" w:fill="FFFFFF"/>
              <w:spacing w:before="0" w:beforeAutospacing="0" w:after="0" w:afterAutospacing="0"/>
              <w:jc w:val="both"/>
              <w:textAlignment w:val="baseline"/>
            </w:pPr>
            <w:r>
              <w:t>•</w:t>
            </w:r>
            <w:r>
              <w:rPr>
                <w:lang w:val="uk-UA"/>
              </w:rPr>
              <w:t> </w:t>
            </w:r>
            <w:r w:rsidRPr="00E26EA0">
              <w:t>звільнено малі та середні групи від обов’язкового складання і подання консолідованої фінансової звітності;</w:t>
            </w:r>
          </w:p>
          <w:p w:rsidR="00F75E94" w:rsidRPr="00E26EA0" w:rsidRDefault="00F75E94" w:rsidP="00274834">
            <w:pPr>
              <w:pStyle w:val="NormalWeb"/>
              <w:shd w:val="clear" w:color="auto" w:fill="FFFFFF"/>
              <w:spacing w:before="0" w:beforeAutospacing="0" w:after="0" w:afterAutospacing="0"/>
              <w:jc w:val="both"/>
              <w:textAlignment w:val="baseline"/>
            </w:pPr>
            <w:r>
              <w:t>•</w:t>
            </w:r>
            <w:r>
              <w:rPr>
                <w:lang w:val="uk-UA"/>
              </w:rPr>
              <w:t> </w:t>
            </w:r>
            <w:r w:rsidRPr="00E26EA0">
              <w:t>удосконалено окремі норми щодо подання фінансової звітності, складеної за Міжнародні стандарти фінансової звітності (далі – МСФЗ) на основі таксономії фінансової звітності в єдиному електронному форматі;</w:t>
            </w:r>
          </w:p>
          <w:p w:rsidR="00F75E94" w:rsidRPr="00E26EA0" w:rsidRDefault="00F75E94" w:rsidP="00274834">
            <w:pPr>
              <w:pStyle w:val="NormalWeb"/>
              <w:shd w:val="clear" w:color="auto" w:fill="FFFFFF"/>
              <w:spacing w:before="0" w:beforeAutospacing="0" w:after="0" w:afterAutospacing="0"/>
              <w:jc w:val="both"/>
              <w:textAlignment w:val="baseline"/>
            </w:pPr>
            <w:r>
              <w:t>•</w:t>
            </w:r>
            <w:r>
              <w:rPr>
                <w:lang w:val="uk-UA"/>
              </w:rPr>
              <w:t> </w:t>
            </w:r>
            <w:r w:rsidRPr="00E26EA0">
              <w:t>уточнено перелік підприємств, які складають фінансову звітність за МСФЗ, оприлюднюють консолідовану фінансову звітність разом з аудиторським звітом та вимоги до обов’язкових реквізитів первинних документів;</w:t>
            </w:r>
          </w:p>
          <w:p w:rsidR="00F75E94" w:rsidRPr="00E26EA0" w:rsidRDefault="00F75E94" w:rsidP="00274834">
            <w:pPr>
              <w:pStyle w:val="NormalWeb"/>
              <w:shd w:val="clear" w:color="auto" w:fill="FFFFFF"/>
              <w:spacing w:before="0" w:beforeAutospacing="0" w:after="0" w:afterAutospacing="0"/>
              <w:jc w:val="both"/>
              <w:textAlignment w:val="baseline"/>
            </w:pPr>
            <w:r>
              <w:t>•</w:t>
            </w:r>
            <w:r>
              <w:rPr>
                <w:lang w:val="uk-UA"/>
              </w:rPr>
              <w:t> </w:t>
            </w:r>
            <w:r w:rsidRPr="00E26EA0">
              <w:t>уточнено норми щодо формування електронних первинних документів: зокрема, залежно від характеру господарської операції та технології обробки облікової інформації до первинних документів можуть бути включені додаткові реквізити. Первинні документи, створені автоматично в електронній формі програмним забезпеченням інформаційно-комунікаційної системи, застосовуються у бухгалтерському обліку за умови наявності накладеного на електронний документ електронного підпису чи печатки з дотриманням вимог законодавства про електронні документи та електронний документообіг</w:t>
            </w:r>
          </w:p>
        </w:tc>
      </w:tr>
      <w:tr w:rsidR="00F75E94" w:rsidRPr="00D24DBE"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3</w:t>
            </w:r>
          </w:p>
        </w:tc>
        <w:tc>
          <w:tcPr>
            <w:tcW w:w="1608" w:type="dxa"/>
          </w:tcPr>
          <w:p w:rsidR="00F75E94" w:rsidRPr="00E26EA0" w:rsidRDefault="00F75E94" w:rsidP="004A24B0">
            <w:pPr>
              <w:tabs>
                <w:tab w:val="left" w:pos="2340"/>
              </w:tabs>
              <w:jc w:val="center"/>
              <w:rPr>
                <w:lang w:val="uk-UA"/>
              </w:rPr>
            </w:pPr>
            <w:r w:rsidRPr="00E26EA0">
              <w:rPr>
                <w:lang w:val="uk-UA"/>
              </w:rPr>
              <w:t>10.08.2022</w:t>
            </w:r>
          </w:p>
        </w:tc>
        <w:tc>
          <w:tcPr>
            <w:tcW w:w="2963" w:type="dxa"/>
          </w:tcPr>
          <w:p w:rsidR="00F75E94" w:rsidRPr="00E26EA0" w:rsidRDefault="00F75E94" w:rsidP="00CA5470">
            <w:pPr>
              <w:shd w:val="clear" w:color="auto" w:fill="FFFFFF"/>
              <w:ind w:firstLine="416"/>
              <w:jc w:val="both"/>
              <w:rPr>
                <w:b/>
                <w:bCs/>
                <w:i/>
                <w:lang w:val="uk-UA"/>
              </w:rPr>
            </w:pPr>
            <w:r w:rsidRPr="00E26EA0">
              <w:rPr>
                <w:b/>
                <w:i/>
                <w:bdr w:val="none" w:sz="0" w:space="0" w:color="auto" w:frame="1"/>
                <w:lang w:val="uk-UA"/>
              </w:rPr>
              <w:t>Закон України від 19 липня 2022 року № 2436-</w:t>
            </w:r>
            <w:r w:rsidRPr="00E26EA0">
              <w:rPr>
                <w:b/>
                <w:i/>
                <w:bdr w:val="none" w:sz="0" w:space="0" w:color="auto" w:frame="1"/>
              </w:rPr>
              <w:t>IX</w:t>
            </w:r>
            <w:r w:rsidRPr="00E26EA0">
              <w:rPr>
                <w:bdr w:val="none" w:sz="0" w:space="0" w:color="auto" w:frame="1"/>
                <w:lang w:val="uk-UA"/>
              </w:rPr>
              <w:t xml:space="preserve"> «Про внесення змін до Закону України «Про захист інтересів суб’єктів подання звітності та інших документів у період дії воєнного стану або стану війни» (далі – </w:t>
            </w:r>
            <w:r w:rsidRPr="00E26EA0">
              <w:rPr>
                <w:b/>
                <w:i/>
                <w:bdr w:val="none" w:sz="0" w:space="0" w:color="auto" w:frame="1"/>
                <w:lang w:val="uk-UA"/>
              </w:rPr>
              <w:t>Закон № 2436</w:t>
            </w:r>
            <w:r w:rsidRPr="00E26EA0">
              <w:rPr>
                <w:bdr w:val="none" w:sz="0" w:space="0" w:color="auto" w:frame="1"/>
                <w:lang w:val="uk-UA"/>
              </w:rPr>
              <w:t>)</w:t>
            </w:r>
          </w:p>
        </w:tc>
        <w:tc>
          <w:tcPr>
            <w:tcW w:w="3501" w:type="dxa"/>
          </w:tcPr>
          <w:p w:rsidR="00F75E94" w:rsidRPr="00E26EA0" w:rsidRDefault="00F75E94" w:rsidP="00CA5470">
            <w:pPr>
              <w:pStyle w:val="NormalWeb"/>
              <w:shd w:val="clear" w:color="auto" w:fill="FFFFFF"/>
              <w:spacing w:before="0" w:beforeAutospacing="0" w:after="120" w:afterAutospacing="0"/>
              <w:ind w:firstLine="333"/>
              <w:jc w:val="both"/>
              <w:textAlignment w:val="baseline"/>
              <w:rPr>
                <w:rFonts w:ascii="Arial" w:hAnsi="Arial" w:cs="Arial"/>
                <w:sz w:val="27"/>
                <w:szCs w:val="27"/>
                <w:lang w:val="uk-UA"/>
              </w:rPr>
            </w:pPr>
          </w:p>
        </w:tc>
        <w:tc>
          <w:tcPr>
            <w:tcW w:w="3347" w:type="dxa"/>
          </w:tcPr>
          <w:p w:rsidR="00F75E94" w:rsidRPr="00E26EA0" w:rsidRDefault="00F75E94" w:rsidP="00274834">
            <w:pPr>
              <w:shd w:val="clear" w:color="auto" w:fill="FFFFFF"/>
              <w:ind w:left="221"/>
              <w:jc w:val="both"/>
              <w:rPr>
                <w:b/>
                <w:lang w:val="uk-UA" w:eastAsia="uk-UA"/>
              </w:rPr>
            </w:pPr>
          </w:p>
        </w:tc>
        <w:tc>
          <w:tcPr>
            <w:tcW w:w="3309" w:type="dxa"/>
          </w:tcPr>
          <w:p w:rsidR="00F75E94" w:rsidRPr="00CA5470" w:rsidRDefault="00F75E94" w:rsidP="00A97FF8">
            <w:pPr>
              <w:pStyle w:val="NormalWeb"/>
              <w:shd w:val="clear" w:color="auto" w:fill="FFFFFF"/>
              <w:spacing w:before="0" w:beforeAutospacing="0" w:after="0" w:afterAutospacing="0"/>
              <w:ind w:firstLine="559"/>
              <w:jc w:val="both"/>
              <w:textAlignment w:val="baseline"/>
              <w:rPr>
                <w:lang w:val="uk-UA"/>
              </w:rPr>
            </w:pPr>
            <w:r w:rsidRPr="00E26EA0">
              <w:rPr>
                <w:b/>
                <w:i/>
                <w:bdr w:val="none" w:sz="0" w:space="0" w:color="auto" w:frame="1"/>
                <w:lang w:val="uk-UA"/>
              </w:rPr>
              <w:t xml:space="preserve">Законом № 2436 </w:t>
            </w:r>
            <w:r w:rsidRPr="00E26EA0">
              <w:rPr>
                <w:bdr w:val="none" w:sz="0" w:space="0" w:color="auto" w:frame="1"/>
                <w:lang w:val="uk-UA"/>
              </w:rPr>
              <w:t>зокрема</w:t>
            </w:r>
            <w:r w:rsidRPr="00CA5470">
              <w:rPr>
                <w:bdr w:val="none" w:sz="0" w:space="0" w:color="auto" w:frame="1"/>
                <w:lang w:val="uk-UA"/>
              </w:rPr>
              <w:t xml:space="preserve"> передбачено, що:</w:t>
            </w:r>
          </w:p>
          <w:p w:rsidR="00F75E94" w:rsidRPr="00CA5470" w:rsidRDefault="00F75E94" w:rsidP="00A97FF8">
            <w:pPr>
              <w:pStyle w:val="NormalWeb"/>
              <w:shd w:val="clear" w:color="auto" w:fill="FFFFFF"/>
              <w:spacing w:before="0" w:beforeAutospacing="0" w:after="0" w:afterAutospacing="0"/>
              <w:jc w:val="both"/>
              <w:textAlignment w:val="baseline"/>
              <w:rPr>
                <w:lang w:val="uk-UA"/>
              </w:rPr>
            </w:pPr>
            <w:r w:rsidRPr="00CA5470">
              <w:rPr>
                <w:bdr w:val="none" w:sz="0" w:space="0" w:color="auto" w:frame="1"/>
                <w:lang w:val="uk-UA"/>
              </w:rPr>
              <w:t>- оприлюднення річної фінансової звітності та річної консолідованої фінансової звітності разом з відповідними аудиторськими звітами, звітом про управління, консолідованим звітом про управління, звітом про платежі на користь держави та консолідованим звітом про платежі на користь держави</w:t>
            </w:r>
            <w:r w:rsidRPr="00E26EA0">
              <w:rPr>
                <w:bdr w:val="none" w:sz="0" w:space="0" w:color="auto" w:frame="1"/>
              </w:rPr>
              <w:t> </w:t>
            </w:r>
            <w:r w:rsidRPr="00CA5470">
              <w:rPr>
                <w:bdr w:val="none" w:sz="0" w:space="0" w:color="auto" w:frame="1"/>
                <w:lang w:val="uk-UA"/>
              </w:rPr>
              <w:t>здійснюється протягом трьох місяців після припинення чи скасування воєнного стану або стану війни за весь період неоприлюднення фінансової звітності;</w:t>
            </w:r>
          </w:p>
          <w:p w:rsidR="00F75E94" w:rsidRPr="00CA5470" w:rsidRDefault="00F75E94" w:rsidP="00040418">
            <w:pPr>
              <w:pStyle w:val="NormalWeb"/>
              <w:shd w:val="clear" w:color="auto" w:fill="FFFFFF"/>
              <w:spacing w:before="0" w:beforeAutospacing="0" w:after="0" w:afterAutospacing="0"/>
              <w:jc w:val="both"/>
              <w:textAlignment w:val="baseline"/>
              <w:rPr>
                <w:bdr w:val="none" w:sz="0" w:space="0" w:color="auto" w:frame="1"/>
                <w:lang w:val="uk-UA"/>
              </w:rPr>
            </w:pPr>
            <w:r w:rsidRPr="00CA5470">
              <w:rPr>
                <w:bdr w:val="none" w:sz="0" w:space="0" w:color="auto" w:frame="1"/>
                <w:lang w:val="uk-UA"/>
              </w:rPr>
              <w:t>- у період дії воєнного стану або стану війни, а також протягом трьох місяців після його припинення чи скасування звільнити юридичних осіб від відповідальності</w:t>
            </w:r>
            <w:r w:rsidRPr="00E26EA0">
              <w:rPr>
                <w:bdr w:val="none" w:sz="0" w:space="0" w:color="auto" w:frame="1"/>
              </w:rPr>
              <w:t> </w:t>
            </w:r>
            <w:r w:rsidRPr="00CA5470">
              <w:rPr>
                <w:bdr w:val="none" w:sz="0" w:space="0" w:color="auto" w:frame="1"/>
                <w:lang w:val="uk-UA"/>
              </w:rPr>
              <w:t>за порушення вимог Закону про бухоблік щодо своєчасності та повноти оприлюднення фінансової звітності у повному обсязі на вебсторінці або вебсайті юридичної особи разом з відповідними аудиторськими звітами</w:t>
            </w: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4</w:t>
            </w:r>
          </w:p>
        </w:tc>
        <w:tc>
          <w:tcPr>
            <w:tcW w:w="1608" w:type="dxa"/>
          </w:tcPr>
          <w:p w:rsidR="00F75E94" w:rsidRPr="00E26EA0" w:rsidRDefault="00F75E94" w:rsidP="004A24B0">
            <w:pPr>
              <w:tabs>
                <w:tab w:val="left" w:pos="2340"/>
              </w:tabs>
              <w:jc w:val="center"/>
              <w:rPr>
                <w:lang w:val="uk-UA"/>
              </w:rPr>
            </w:pPr>
            <w:r w:rsidRPr="00E26EA0">
              <w:rPr>
                <w:lang w:val="uk-UA"/>
              </w:rPr>
              <w:t>10.08.2022</w:t>
            </w:r>
          </w:p>
        </w:tc>
        <w:tc>
          <w:tcPr>
            <w:tcW w:w="2963" w:type="dxa"/>
          </w:tcPr>
          <w:p w:rsidR="00F75E94" w:rsidRPr="00E26EA0" w:rsidRDefault="00F75E94" w:rsidP="00CA5470">
            <w:pPr>
              <w:shd w:val="clear" w:color="auto" w:fill="FFFFFF"/>
              <w:ind w:firstLine="416"/>
              <w:jc w:val="both"/>
              <w:rPr>
                <w:b/>
                <w:i/>
                <w:bdr w:val="none" w:sz="0" w:space="0" w:color="auto" w:frame="1"/>
                <w:lang w:val="uk-UA"/>
              </w:rPr>
            </w:pPr>
            <w:r w:rsidRPr="00E26EA0">
              <w:rPr>
                <w:b/>
                <w:i/>
                <w:shd w:val="clear" w:color="auto" w:fill="FFFFFF"/>
                <w:lang w:val="uk-UA"/>
              </w:rPr>
              <w:t>Закон</w:t>
            </w:r>
            <w:r w:rsidRPr="00E26EA0">
              <w:rPr>
                <w:b/>
                <w:i/>
                <w:shd w:val="clear" w:color="auto" w:fill="FFFFFF"/>
              </w:rPr>
              <w:t> </w:t>
            </w:r>
            <w:r w:rsidRPr="00E26EA0">
              <w:rPr>
                <w:b/>
                <w:i/>
                <w:shd w:val="clear" w:color="auto" w:fill="FFFFFF"/>
                <w:lang w:val="uk-UA"/>
              </w:rPr>
              <w:t>України від 18 липня 2022 року № 2421-</w:t>
            </w:r>
            <w:r w:rsidRPr="00E26EA0">
              <w:rPr>
                <w:b/>
                <w:i/>
                <w:shd w:val="clear" w:color="auto" w:fill="FFFFFF"/>
              </w:rPr>
              <w:t>IX</w:t>
            </w:r>
            <w:r w:rsidRPr="00E26EA0">
              <w:rPr>
                <w:shd w:val="clear" w:color="auto" w:fill="FFFFFF"/>
                <w:lang w:val="uk-UA"/>
              </w:rPr>
              <w:t xml:space="preserve"> «Про внесення змін до деяких законодавчих актів України щодо врегулювання трудових відносин з нефіксованим робочим часом» (далі – </w:t>
            </w:r>
            <w:r w:rsidRPr="00E26EA0">
              <w:rPr>
                <w:b/>
                <w:i/>
                <w:shd w:val="clear" w:color="auto" w:fill="FFFFFF"/>
                <w:lang w:val="uk-UA"/>
              </w:rPr>
              <w:t>Закон</w:t>
            </w:r>
            <w:r w:rsidRPr="00E26EA0">
              <w:rPr>
                <w:shd w:val="clear" w:color="auto" w:fill="FFFFFF"/>
                <w:lang w:val="uk-UA"/>
              </w:rPr>
              <w:t xml:space="preserve"> </w:t>
            </w:r>
            <w:r w:rsidRPr="00E26EA0">
              <w:rPr>
                <w:b/>
                <w:i/>
                <w:shd w:val="clear" w:color="auto" w:fill="FFFFFF"/>
                <w:lang w:val="uk-UA"/>
              </w:rPr>
              <w:t>№ 2421</w:t>
            </w:r>
            <w:r w:rsidRPr="00E26EA0">
              <w:rPr>
                <w:shd w:val="clear" w:color="auto" w:fill="FFFFFF"/>
                <w:lang w:val="uk-UA"/>
              </w:rPr>
              <w:t>)</w:t>
            </w:r>
          </w:p>
        </w:tc>
        <w:tc>
          <w:tcPr>
            <w:tcW w:w="3501" w:type="dxa"/>
          </w:tcPr>
          <w:p w:rsidR="00F75E94" w:rsidRPr="00E26EA0" w:rsidRDefault="00F75E94" w:rsidP="00CA5470">
            <w:pPr>
              <w:pStyle w:val="NormalWeb"/>
              <w:shd w:val="clear" w:color="auto" w:fill="FFFFFF"/>
              <w:spacing w:before="0" w:beforeAutospacing="0" w:after="120" w:afterAutospacing="0"/>
              <w:ind w:firstLine="333"/>
              <w:jc w:val="both"/>
              <w:textAlignment w:val="baseline"/>
              <w:rPr>
                <w:rFonts w:ascii="Arial" w:hAnsi="Arial" w:cs="Arial"/>
                <w:sz w:val="27"/>
                <w:szCs w:val="27"/>
                <w:lang w:val="uk-UA"/>
              </w:rPr>
            </w:pPr>
          </w:p>
        </w:tc>
        <w:tc>
          <w:tcPr>
            <w:tcW w:w="3347" w:type="dxa"/>
          </w:tcPr>
          <w:p w:rsidR="00F75E94" w:rsidRPr="00E26EA0" w:rsidRDefault="00F75E94" w:rsidP="00274834">
            <w:pPr>
              <w:shd w:val="clear" w:color="auto" w:fill="FFFFFF"/>
              <w:ind w:left="221"/>
              <w:jc w:val="both"/>
              <w:rPr>
                <w:b/>
                <w:lang w:val="uk-UA" w:eastAsia="uk-UA"/>
              </w:rPr>
            </w:pPr>
          </w:p>
        </w:tc>
        <w:tc>
          <w:tcPr>
            <w:tcW w:w="3309" w:type="dxa"/>
          </w:tcPr>
          <w:p w:rsidR="00F75E94" w:rsidRDefault="00F75E94" w:rsidP="00A97FF8">
            <w:pPr>
              <w:pStyle w:val="NormalWeb"/>
              <w:shd w:val="clear" w:color="auto" w:fill="FFFFFF"/>
              <w:spacing w:before="0" w:beforeAutospacing="0" w:after="0" w:afterAutospacing="0"/>
              <w:ind w:firstLine="559"/>
              <w:jc w:val="both"/>
              <w:textAlignment w:val="baseline"/>
              <w:rPr>
                <w:shd w:val="clear" w:color="auto" w:fill="FFFFFF"/>
                <w:lang w:val="uk-UA"/>
              </w:rPr>
            </w:pPr>
            <w:r w:rsidRPr="00E26EA0">
              <w:rPr>
                <w:b/>
                <w:i/>
                <w:shd w:val="clear" w:color="auto" w:fill="FFFFFF"/>
              </w:rPr>
              <w:t>Законом №</w:t>
            </w:r>
            <w:r w:rsidRPr="00E26EA0">
              <w:rPr>
                <w:b/>
                <w:i/>
                <w:shd w:val="clear" w:color="auto" w:fill="FFFFFF"/>
                <w:lang w:val="uk-UA"/>
              </w:rPr>
              <w:t> </w:t>
            </w:r>
            <w:r w:rsidRPr="00E26EA0">
              <w:rPr>
                <w:b/>
                <w:i/>
                <w:shd w:val="clear" w:color="auto" w:fill="FFFFFF"/>
              </w:rPr>
              <w:t>2</w:t>
            </w:r>
            <w:r w:rsidRPr="00E26EA0">
              <w:rPr>
                <w:b/>
                <w:i/>
                <w:shd w:val="clear" w:color="auto" w:fill="FFFFFF"/>
                <w:lang w:val="uk-UA"/>
              </w:rPr>
              <w:t>4</w:t>
            </w:r>
            <w:r w:rsidRPr="00E26EA0">
              <w:rPr>
                <w:b/>
                <w:i/>
                <w:shd w:val="clear" w:color="auto" w:fill="FFFFFF"/>
              </w:rPr>
              <w:t>21</w:t>
            </w:r>
            <w:r w:rsidRPr="00E26EA0">
              <w:rPr>
                <w:shd w:val="clear" w:color="auto" w:fill="FFFFFF"/>
              </w:rPr>
              <w:t xml:space="preserve"> Кодекс з</w:t>
            </w:r>
            <w:r>
              <w:rPr>
                <w:shd w:val="clear" w:color="auto" w:fill="FFFFFF"/>
              </w:rPr>
              <w:t xml:space="preserve">аконів про працю України </w:t>
            </w:r>
            <w:r w:rsidRPr="00E26EA0">
              <w:rPr>
                <w:shd w:val="clear" w:color="auto" w:fill="FFFFFF"/>
              </w:rPr>
              <w:t>доповнено новою статтею 21 прим. 1, відповідно до якої запроваджено трудовий договір з нефіксованим робочим часом </w:t>
            </w:r>
            <w:r w:rsidRPr="00E26EA0">
              <w:rPr>
                <w:rStyle w:val="Strong"/>
                <w:bdr w:val="none" w:sz="0" w:space="0" w:color="auto" w:frame="1"/>
                <w:shd w:val="clear" w:color="auto" w:fill="FFFFFF"/>
              </w:rPr>
              <w:t>–</w:t>
            </w:r>
            <w:r w:rsidRPr="00E26EA0">
              <w:rPr>
                <w:shd w:val="clear" w:color="auto" w:fill="FFFFFF"/>
              </w:rPr>
              <w:t> особливий вид трудового договору, умовами якого заздалегідь не встановлено конкретний час виконання роботи, а обов’язок працівника виконувати таку роботу, яка виникає виключно у разі надання власником або уповноваженим ним органом передбаченої цим трудовим договором роботи без гарантування того, що така робота буде надаватися постійно</w:t>
            </w:r>
          </w:p>
          <w:p w:rsidR="00F75E94" w:rsidRPr="00C76650" w:rsidRDefault="00F75E94" w:rsidP="00A97FF8">
            <w:pPr>
              <w:pStyle w:val="NormalWeb"/>
              <w:shd w:val="clear" w:color="auto" w:fill="FFFFFF"/>
              <w:spacing w:before="0" w:beforeAutospacing="0" w:after="0" w:afterAutospacing="0"/>
              <w:ind w:firstLine="559"/>
              <w:jc w:val="both"/>
              <w:textAlignment w:val="baseline"/>
              <w:rPr>
                <w:b/>
                <w:i/>
                <w:bdr w:val="none" w:sz="0" w:space="0" w:color="auto" w:frame="1"/>
                <w:lang w:val="uk-UA"/>
              </w:rPr>
            </w:pPr>
          </w:p>
        </w:tc>
      </w:tr>
      <w:tr w:rsidR="00F75E94" w:rsidRPr="00D24DBE"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5</w:t>
            </w:r>
          </w:p>
        </w:tc>
        <w:tc>
          <w:tcPr>
            <w:tcW w:w="1608" w:type="dxa"/>
          </w:tcPr>
          <w:p w:rsidR="00F75E94" w:rsidRPr="00E26EA0" w:rsidRDefault="00F75E94" w:rsidP="004A24B0">
            <w:pPr>
              <w:tabs>
                <w:tab w:val="left" w:pos="2340"/>
              </w:tabs>
              <w:jc w:val="center"/>
              <w:rPr>
                <w:lang w:val="uk-UA"/>
              </w:rPr>
            </w:pPr>
            <w:r w:rsidRPr="00E26EA0">
              <w:rPr>
                <w:lang w:val="uk-UA"/>
              </w:rPr>
              <w:t>16.08.2022</w:t>
            </w:r>
          </w:p>
        </w:tc>
        <w:tc>
          <w:tcPr>
            <w:tcW w:w="2963" w:type="dxa"/>
          </w:tcPr>
          <w:p w:rsidR="00F75E94" w:rsidRPr="00E26EA0" w:rsidRDefault="00F75E94" w:rsidP="00CA5470">
            <w:pPr>
              <w:shd w:val="clear" w:color="auto" w:fill="FFFFFF"/>
              <w:ind w:firstLine="416"/>
              <w:jc w:val="both"/>
              <w:rPr>
                <w:b/>
                <w:i/>
                <w:shd w:val="clear" w:color="auto" w:fill="FFFFFF"/>
                <w:lang w:val="uk-UA"/>
              </w:rPr>
            </w:pPr>
            <w:r w:rsidRPr="00E26EA0">
              <w:rPr>
                <w:b/>
                <w:i/>
                <w:shd w:val="clear" w:color="auto" w:fill="FFFFFF"/>
                <w:lang w:val="uk-UA"/>
              </w:rPr>
              <w:t>Н</w:t>
            </w:r>
            <w:r w:rsidRPr="00E26EA0">
              <w:rPr>
                <w:b/>
                <w:i/>
                <w:shd w:val="clear" w:color="auto" w:fill="FFFFFF"/>
              </w:rPr>
              <w:t xml:space="preserve">аказ </w:t>
            </w:r>
            <w:r w:rsidRPr="00E26EA0">
              <w:rPr>
                <w:b/>
                <w:i/>
                <w:shd w:val="clear" w:color="auto" w:fill="FFFFFF"/>
                <w:lang w:val="uk-UA"/>
              </w:rPr>
              <w:t>МФУ</w:t>
            </w:r>
            <w:r w:rsidRPr="00E26EA0">
              <w:rPr>
                <w:b/>
                <w:i/>
                <w:shd w:val="clear" w:color="auto" w:fill="FFFFFF"/>
              </w:rPr>
              <w:t xml:space="preserve"> від 21.07.2022 № 206</w:t>
            </w:r>
            <w:r w:rsidRPr="00E26EA0">
              <w:rPr>
                <w:shd w:val="clear" w:color="auto" w:fill="FFFFFF"/>
              </w:rPr>
              <w:t xml:space="preserve"> «Про затвердження Змін до форми Податкової декларації екологічного податку» (далі – </w:t>
            </w:r>
            <w:r w:rsidRPr="00E26EA0">
              <w:rPr>
                <w:b/>
                <w:i/>
                <w:shd w:val="clear" w:color="auto" w:fill="FFFFFF"/>
              </w:rPr>
              <w:t>Наказ №</w:t>
            </w:r>
            <w:r w:rsidRPr="00E26EA0">
              <w:rPr>
                <w:b/>
                <w:i/>
                <w:shd w:val="clear" w:color="auto" w:fill="FFFFFF"/>
                <w:lang w:val="uk-UA"/>
              </w:rPr>
              <w:t> </w:t>
            </w:r>
            <w:r w:rsidRPr="00E26EA0">
              <w:rPr>
                <w:b/>
                <w:i/>
                <w:shd w:val="clear" w:color="auto" w:fill="FFFFFF"/>
              </w:rPr>
              <w:t>206</w:t>
            </w:r>
            <w:r w:rsidRPr="00E26EA0">
              <w:rPr>
                <w:shd w:val="clear" w:color="auto" w:fill="FFFFFF"/>
              </w:rPr>
              <w:t>)</w:t>
            </w:r>
          </w:p>
        </w:tc>
        <w:tc>
          <w:tcPr>
            <w:tcW w:w="3501" w:type="dxa"/>
          </w:tcPr>
          <w:p w:rsidR="00F75E94" w:rsidRPr="00E26EA0" w:rsidRDefault="00F75E94" w:rsidP="00CA5470">
            <w:pPr>
              <w:pStyle w:val="NormalWeb"/>
              <w:shd w:val="clear" w:color="auto" w:fill="FFFFFF"/>
              <w:spacing w:before="0" w:beforeAutospacing="0" w:after="120" w:afterAutospacing="0"/>
              <w:ind w:firstLine="333"/>
              <w:jc w:val="both"/>
              <w:textAlignment w:val="baseline"/>
              <w:rPr>
                <w:rFonts w:ascii="Arial" w:hAnsi="Arial" w:cs="Arial"/>
                <w:sz w:val="27"/>
                <w:szCs w:val="27"/>
                <w:lang w:val="uk-UA"/>
              </w:rPr>
            </w:pPr>
            <w:r w:rsidRPr="00E26EA0">
              <w:rPr>
                <w:b/>
                <w:i/>
                <w:shd w:val="clear" w:color="auto" w:fill="FFFFFF"/>
                <w:lang w:val="uk-UA"/>
              </w:rPr>
              <w:t>Наказ</w:t>
            </w:r>
            <w:r>
              <w:rPr>
                <w:b/>
                <w:i/>
                <w:shd w:val="clear" w:color="auto" w:fill="FFFFFF"/>
                <w:lang w:val="uk-UA"/>
              </w:rPr>
              <w:t>ом</w:t>
            </w:r>
            <w:r w:rsidRPr="00E26EA0">
              <w:rPr>
                <w:b/>
                <w:i/>
                <w:shd w:val="clear" w:color="auto" w:fill="FFFFFF"/>
                <w:lang w:val="uk-UA"/>
              </w:rPr>
              <w:t xml:space="preserve"> № 206 </w:t>
            </w:r>
            <w:r w:rsidRPr="00E26EA0">
              <w:rPr>
                <w:shd w:val="clear" w:color="auto" w:fill="FFFFFF"/>
                <w:lang w:val="uk-UA"/>
              </w:rPr>
              <w:t>внесено зміни до форми Податкової декларації екологічного податку, затвердженої наказом Міністерства фінансів України від 17.08.2015 № 715 (далі – Наказ № 715), зокрема, код органу місцевого самоврядування за КОАТУУ (10 символів) змінено на код за КАТОТТГ (19 символів),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26.11.2020 № 290 (у редакції наказу Міністерства розвитку громад та територій України від 12 січня 2021 року № 3)</w:t>
            </w:r>
          </w:p>
        </w:tc>
        <w:tc>
          <w:tcPr>
            <w:tcW w:w="3347" w:type="dxa"/>
          </w:tcPr>
          <w:p w:rsidR="00F75E94" w:rsidRPr="00E26EA0" w:rsidRDefault="00F75E94" w:rsidP="00274834">
            <w:pPr>
              <w:shd w:val="clear" w:color="auto" w:fill="FFFFFF"/>
              <w:ind w:left="221"/>
              <w:jc w:val="both"/>
              <w:rPr>
                <w:b/>
                <w:lang w:val="uk-UA" w:eastAsia="uk-UA"/>
              </w:rPr>
            </w:pPr>
          </w:p>
        </w:tc>
        <w:tc>
          <w:tcPr>
            <w:tcW w:w="3309" w:type="dxa"/>
          </w:tcPr>
          <w:p w:rsidR="00F75E94" w:rsidRPr="00E26EA0" w:rsidRDefault="00F75E94" w:rsidP="00A97FF8">
            <w:pPr>
              <w:pStyle w:val="NormalWeb"/>
              <w:shd w:val="clear" w:color="auto" w:fill="FFFFFF"/>
              <w:spacing w:before="0" w:beforeAutospacing="0" w:after="0" w:afterAutospacing="0"/>
              <w:ind w:firstLine="559"/>
              <w:jc w:val="both"/>
              <w:textAlignment w:val="baseline"/>
              <w:rPr>
                <w:b/>
                <w:i/>
                <w:shd w:val="clear" w:color="auto" w:fill="FFFFFF"/>
                <w:lang w:val="uk-UA"/>
              </w:rPr>
            </w:pP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6</w:t>
            </w:r>
          </w:p>
        </w:tc>
        <w:tc>
          <w:tcPr>
            <w:tcW w:w="1608" w:type="dxa"/>
          </w:tcPr>
          <w:p w:rsidR="00F75E94" w:rsidRPr="00E26EA0" w:rsidRDefault="00F75E94" w:rsidP="004A24B0">
            <w:pPr>
              <w:tabs>
                <w:tab w:val="left" w:pos="2340"/>
              </w:tabs>
              <w:jc w:val="center"/>
              <w:rPr>
                <w:lang w:val="uk-UA"/>
              </w:rPr>
            </w:pPr>
            <w:r w:rsidRPr="00E26EA0">
              <w:rPr>
                <w:lang w:val="uk-UA"/>
              </w:rPr>
              <w:t>17.08.2022</w:t>
            </w:r>
          </w:p>
        </w:tc>
        <w:tc>
          <w:tcPr>
            <w:tcW w:w="2963" w:type="dxa"/>
          </w:tcPr>
          <w:p w:rsidR="00F75E94" w:rsidRPr="00E26EA0" w:rsidRDefault="00F75E94" w:rsidP="00CA5470">
            <w:pPr>
              <w:shd w:val="clear" w:color="auto" w:fill="FFFFFF"/>
              <w:ind w:firstLine="416"/>
              <w:jc w:val="both"/>
              <w:rPr>
                <w:b/>
                <w:i/>
                <w:shd w:val="clear" w:color="auto" w:fill="FFFFFF"/>
                <w:lang w:val="uk-UA"/>
              </w:rPr>
            </w:pPr>
            <w:r w:rsidRPr="00E26EA0">
              <w:rPr>
                <w:b/>
                <w:bCs/>
                <w:i/>
                <w:lang w:val="uk-UA" w:eastAsia="uk-UA"/>
              </w:rPr>
              <w:t>Постанова Кабінету Міністрів України (далі – КМУ) від 29 липня 2022 року № 894</w:t>
            </w:r>
            <w:r w:rsidRPr="00E26EA0">
              <w:rPr>
                <w:bCs/>
                <w:lang w:val="uk-UA" w:eastAsia="uk-UA"/>
              </w:rPr>
              <w:t xml:space="preserve">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(далі – </w:t>
            </w:r>
            <w:r w:rsidRPr="00E26EA0">
              <w:rPr>
                <w:b/>
                <w:bCs/>
                <w:i/>
                <w:lang w:val="uk-UA" w:eastAsia="uk-UA"/>
              </w:rPr>
              <w:t>Постанова № 894</w:t>
            </w:r>
            <w:r w:rsidRPr="00E26EA0">
              <w:rPr>
                <w:bCs/>
                <w:lang w:val="uk-UA" w:eastAsia="uk-UA"/>
              </w:rPr>
              <w:t>)</w:t>
            </w:r>
          </w:p>
        </w:tc>
        <w:tc>
          <w:tcPr>
            <w:tcW w:w="3501" w:type="dxa"/>
          </w:tcPr>
          <w:p w:rsidR="00F75E94" w:rsidRPr="00E26EA0" w:rsidRDefault="00F75E94" w:rsidP="00CA5470">
            <w:pPr>
              <w:pStyle w:val="NormalWeb"/>
              <w:shd w:val="clear" w:color="auto" w:fill="FFFFFF"/>
              <w:spacing w:before="0" w:beforeAutospacing="0" w:after="120" w:afterAutospacing="0"/>
              <w:ind w:firstLine="333"/>
              <w:jc w:val="both"/>
              <w:textAlignment w:val="baseline"/>
              <w:rPr>
                <w:b/>
                <w:i/>
                <w:shd w:val="clear" w:color="auto" w:fill="FFFFFF"/>
                <w:lang w:val="uk-UA"/>
              </w:rPr>
            </w:pPr>
          </w:p>
        </w:tc>
        <w:tc>
          <w:tcPr>
            <w:tcW w:w="3347" w:type="dxa"/>
          </w:tcPr>
          <w:p w:rsidR="00F75E94" w:rsidRPr="00E26EA0" w:rsidRDefault="00F75E94" w:rsidP="00274834">
            <w:pPr>
              <w:shd w:val="clear" w:color="auto" w:fill="FFFFFF"/>
              <w:ind w:left="221"/>
              <w:jc w:val="both"/>
              <w:rPr>
                <w:b/>
                <w:lang w:val="uk-UA" w:eastAsia="uk-UA"/>
              </w:rPr>
            </w:pPr>
          </w:p>
        </w:tc>
        <w:tc>
          <w:tcPr>
            <w:tcW w:w="3309" w:type="dxa"/>
          </w:tcPr>
          <w:p w:rsidR="00F75E94" w:rsidRPr="00E26EA0" w:rsidRDefault="00F75E94" w:rsidP="00E14A5A">
            <w:pPr>
              <w:pStyle w:val="NormalWeb"/>
              <w:shd w:val="clear" w:color="auto" w:fill="FFFFFF"/>
              <w:spacing w:before="0" w:beforeAutospacing="0" w:after="0" w:afterAutospacing="0"/>
              <w:ind w:firstLine="418"/>
              <w:jc w:val="both"/>
              <w:textAlignment w:val="baseline"/>
              <w:rPr>
                <w:lang w:val="uk-UA"/>
              </w:rPr>
            </w:pPr>
            <w:r>
              <w:rPr>
                <w:b/>
                <w:bCs/>
                <w:i/>
                <w:lang w:val="uk-UA" w:eastAsia="uk-UA"/>
              </w:rPr>
              <w:t>Постановою</w:t>
            </w:r>
            <w:r w:rsidRPr="00E26EA0">
              <w:rPr>
                <w:b/>
                <w:bCs/>
                <w:i/>
                <w:lang w:val="uk-UA" w:eastAsia="uk-UA"/>
              </w:rPr>
              <w:t xml:space="preserve"> № 894 </w:t>
            </w:r>
            <w:r w:rsidRPr="00E26EA0">
              <w:rPr>
                <w:bCs/>
                <w:lang w:val="uk-UA" w:eastAsia="uk-UA"/>
              </w:rPr>
              <w:t>Уряд</w:t>
            </w:r>
            <w:r w:rsidRPr="00E26EA0">
              <w:rPr>
                <w:b/>
                <w:bCs/>
                <w:i/>
                <w:lang w:val="uk-UA" w:eastAsia="uk-UA"/>
              </w:rPr>
              <w:t xml:space="preserve"> </w:t>
            </w:r>
            <w:r w:rsidRPr="00E26EA0">
              <w:rPr>
                <w:lang w:val="uk-UA"/>
              </w:rPr>
              <w:t>установив,</w:t>
            </w:r>
            <w:r w:rsidRPr="00E26EA0">
              <w:t> </w:t>
            </w:r>
            <w:r w:rsidRPr="00E26EA0">
              <w:rPr>
                <w:lang w:val="uk-UA"/>
              </w:rPr>
              <w:t xml:space="preserve"> що</w:t>
            </w:r>
            <w:r w:rsidRPr="00E26EA0">
              <w:t> </w:t>
            </w:r>
            <w:r w:rsidRPr="00E26EA0">
              <w:rPr>
                <w:lang w:val="uk-UA"/>
              </w:rPr>
              <w:t xml:space="preserve"> торговці</w:t>
            </w:r>
            <w:r w:rsidRPr="00E26EA0">
              <w:t> </w:t>
            </w:r>
            <w:r w:rsidRPr="00E26EA0">
              <w:rPr>
                <w:lang w:val="uk-UA"/>
              </w:rPr>
              <w:t xml:space="preserve"> повинні</w:t>
            </w:r>
            <w:r w:rsidRPr="00E26EA0">
              <w:t> </w:t>
            </w:r>
            <w:r w:rsidRPr="00E26EA0">
              <w:rPr>
                <w:lang w:val="uk-UA"/>
              </w:rPr>
              <w:t xml:space="preserve"> забезпечити</w:t>
            </w:r>
            <w:r w:rsidRPr="00E26EA0">
              <w:t> </w:t>
            </w:r>
            <w:r w:rsidRPr="00E26EA0">
              <w:rPr>
                <w:lang w:val="uk-UA"/>
              </w:rPr>
              <w:t xml:space="preserve"> можливість здійснення</w:t>
            </w:r>
            <w:r w:rsidRPr="00E26EA0">
              <w:t> </w:t>
            </w:r>
            <w:r w:rsidRPr="00E26EA0">
              <w:rPr>
                <w:lang w:val="uk-UA"/>
              </w:rPr>
              <w:t xml:space="preserve"> безготівкових</w:t>
            </w:r>
            <w:r w:rsidRPr="00E26EA0">
              <w:t> </w:t>
            </w:r>
            <w:r w:rsidRPr="00E26EA0">
              <w:rPr>
                <w:lang w:val="uk-UA"/>
              </w:rPr>
              <w:t xml:space="preserve"> розрахунків</w:t>
            </w:r>
            <w:r w:rsidRPr="00E26EA0">
              <w:t> </w:t>
            </w:r>
            <w:r w:rsidRPr="00E26EA0">
              <w:rPr>
                <w:lang w:val="uk-UA"/>
              </w:rPr>
              <w:t xml:space="preserve"> (у</w:t>
            </w:r>
            <w:r w:rsidRPr="00E26EA0">
              <w:t> </w:t>
            </w:r>
            <w:r w:rsidRPr="00E26EA0">
              <w:rPr>
                <w:lang w:val="uk-UA"/>
              </w:rPr>
              <w:t xml:space="preserve"> тому</w:t>
            </w:r>
            <w:r w:rsidRPr="00E26EA0">
              <w:t> </w:t>
            </w:r>
            <w:r w:rsidRPr="00E26EA0">
              <w:rPr>
                <w:lang w:val="uk-UA"/>
              </w:rPr>
              <w:t xml:space="preserve"> числі</w:t>
            </w:r>
            <w:r w:rsidRPr="00E26EA0">
              <w:t> </w:t>
            </w:r>
            <w:r w:rsidRPr="00E26EA0">
              <w:rPr>
                <w:lang w:val="uk-UA"/>
              </w:rPr>
              <w:t xml:space="preserve"> з</w:t>
            </w:r>
            <w:r w:rsidRPr="00E26EA0">
              <w:t> </w:t>
            </w:r>
            <w:r w:rsidRPr="00E26EA0">
              <w:rPr>
                <w:lang w:val="uk-UA"/>
              </w:rPr>
              <w:t xml:space="preserve"> використанням електронних</w:t>
            </w:r>
            <w:r w:rsidRPr="00E26EA0">
              <w:t> </w:t>
            </w:r>
            <w:r w:rsidRPr="00E26EA0">
              <w:rPr>
                <w:lang w:val="uk-UA"/>
              </w:rPr>
              <w:t xml:space="preserve"> платіжних</w:t>
            </w:r>
            <w:r w:rsidRPr="00E26EA0">
              <w:t> </w:t>
            </w:r>
            <w:r w:rsidRPr="00E26EA0">
              <w:rPr>
                <w:lang w:val="uk-UA"/>
              </w:rPr>
              <w:t xml:space="preserve"> засобів,</w:t>
            </w:r>
            <w:r w:rsidRPr="00E26EA0">
              <w:t> </w:t>
            </w:r>
            <w:r w:rsidRPr="00E26EA0">
              <w:rPr>
                <w:lang w:val="uk-UA"/>
              </w:rPr>
              <w:t xml:space="preserve"> платіжних</w:t>
            </w:r>
            <w:r w:rsidRPr="00E26EA0">
              <w:t> </w:t>
            </w:r>
            <w:r w:rsidRPr="00E26EA0">
              <w:rPr>
                <w:lang w:val="uk-UA"/>
              </w:rPr>
              <w:t xml:space="preserve"> застосунків</w:t>
            </w:r>
            <w:r w:rsidRPr="00E26EA0">
              <w:t> </w:t>
            </w:r>
            <w:r w:rsidRPr="00E26EA0">
              <w:rPr>
                <w:lang w:val="uk-UA"/>
              </w:rPr>
              <w:t xml:space="preserve"> або</w:t>
            </w:r>
            <w:r w:rsidRPr="00E26EA0">
              <w:t> </w:t>
            </w:r>
            <w:r w:rsidRPr="00E26EA0">
              <w:rPr>
                <w:lang w:val="uk-UA"/>
              </w:rPr>
              <w:t xml:space="preserve"> платіжних пристроїв) за продані ними товари (надані послуги), включаючи товари (послуги), реалізація (надання) яких здійснюється дистанційно, у такі строки:</w:t>
            </w:r>
          </w:p>
          <w:p w:rsidR="00F75E94" w:rsidRPr="00E26EA0" w:rsidRDefault="00F75E94" w:rsidP="00E14A5A">
            <w:pPr>
              <w:pStyle w:val="NormalWeb"/>
              <w:shd w:val="clear" w:color="auto" w:fill="FFFFFF"/>
              <w:spacing w:before="0" w:beforeAutospacing="0" w:after="0" w:afterAutospacing="0"/>
              <w:jc w:val="both"/>
              <w:textAlignment w:val="baseline"/>
            </w:pPr>
            <w:r w:rsidRPr="00E26EA0">
              <w:t>1) з 1 січня 2023 року – торговці, які провадять господарську діяльність у населених пунктах з чисельністю населення понад 25 тис. осіб (крім торговців, зазначених у пункті 4);</w:t>
            </w:r>
          </w:p>
          <w:p w:rsidR="00F75E94" w:rsidRPr="00E26EA0" w:rsidRDefault="00F75E94" w:rsidP="00E14A5A">
            <w:pPr>
              <w:pStyle w:val="NormalWeb"/>
              <w:shd w:val="clear" w:color="auto" w:fill="FFFFFF"/>
              <w:spacing w:before="0" w:beforeAutospacing="0" w:after="0" w:afterAutospacing="0"/>
              <w:jc w:val="both"/>
              <w:textAlignment w:val="baseline"/>
            </w:pPr>
            <w:r w:rsidRPr="00E26EA0">
              <w:t>2) з 1 січня 2024 року – торговці, які провадять господарську діяльність у  населених  пунктах  з  чисельністю  населення  від  5  до 25 тис. осіб (крім торговців, зазначених у пункті 4);</w:t>
            </w:r>
          </w:p>
          <w:p w:rsidR="00F75E94" w:rsidRPr="00E26EA0" w:rsidRDefault="00F75E94" w:rsidP="00E14A5A">
            <w:pPr>
              <w:pStyle w:val="NormalWeb"/>
              <w:shd w:val="clear" w:color="auto" w:fill="FFFFFF"/>
              <w:spacing w:before="0" w:beforeAutospacing="0" w:after="0" w:afterAutospacing="0"/>
              <w:jc w:val="both"/>
              <w:textAlignment w:val="baseline"/>
            </w:pPr>
            <w:r w:rsidRPr="00E26EA0">
              <w:t>3) з 1 січня 2025 року – торговці, які провадять господарську діяльність у  населених  пунктах  з  чисельністю  населення  менше  ніж 5 тис. осіб (крім торговців, зазначених у пункті 4);</w:t>
            </w:r>
          </w:p>
          <w:p w:rsidR="00F75E94" w:rsidRPr="00E26EA0" w:rsidRDefault="00F75E94" w:rsidP="00E14A5A">
            <w:pPr>
              <w:pStyle w:val="NormalWeb"/>
              <w:shd w:val="clear" w:color="auto" w:fill="FFFFFF"/>
              <w:spacing w:before="0" w:beforeAutospacing="0" w:after="0" w:afterAutospacing="0"/>
              <w:jc w:val="both"/>
              <w:textAlignment w:val="baseline"/>
            </w:pPr>
            <w:r w:rsidRPr="00E26EA0">
              <w:t>4) з 1 січня 2026 року – торговці – фізичні особи-підприємці – платники  єдиного  податку  першої  групи, торговці, які  здійснюють торгівлю з використанням торгових автоматів, виїзну (виносну) торгівлю, продаж власноручно вирощеної або відгодованої продукції.</w:t>
            </w:r>
          </w:p>
          <w:p w:rsidR="00F75E94" w:rsidRPr="00E26EA0" w:rsidRDefault="00F75E94" w:rsidP="00E14A5A">
            <w:pPr>
              <w:pStyle w:val="NormalWeb"/>
              <w:shd w:val="clear" w:color="auto" w:fill="FFFFFF"/>
              <w:spacing w:before="0" w:beforeAutospacing="0" w:after="0" w:afterAutospacing="0"/>
              <w:jc w:val="both"/>
              <w:textAlignment w:val="baseline"/>
            </w:pPr>
            <w:r w:rsidRPr="00E26EA0">
              <w:t>У зв’язку із прийняттям зазначеної вище постанови, постанова Кабінету Міністрів України від 29 вересня  2010 року №  878 «Про здійснення розрахунків за продані товари (надані послуги) з використанням спеціальних платіжних засобів» втрачає чинність з 01.01.2023</w:t>
            </w:r>
          </w:p>
        </w:tc>
      </w:tr>
      <w:tr w:rsidR="00F75E94" w:rsidRPr="00E26EA0" w:rsidTr="004A24B0">
        <w:trPr>
          <w:jc w:val="center"/>
        </w:trPr>
        <w:tc>
          <w:tcPr>
            <w:tcW w:w="15556" w:type="dxa"/>
            <w:gridSpan w:val="6"/>
          </w:tcPr>
          <w:p w:rsidR="00F75E94" w:rsidRPr="00E26EA0" w:rsidRDefault="00F75E94" w:rsidP="00CA5470">
            <w:pPr>
              <w:tabs>
                <w:tab w:val="left" w:pos="2340"/>
              </w:tabs>
              <w:ind w:firstLine="333"/>
              <w:jc w:val="center"/>
              <w:rPr>
                <w:b/>
                <w:lang w:val="uk-UA"/>
              </w:rPr>
            </w:pPr>
            <w:r w:rsidRPr="00E26EA0">
              <w:rPr>
                <w:b/>
                <w:lang w:val="uk-UA"/>
              </w:rPr>
              <w:t>Набрали чинності з 18.08.2022 по 21.08.2022</w:t>
            </w: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1</w:t>
            </w:r>
          </w:p>
        </w:tc>
        <w:tc>
          <w:tcPr>
            <w:tcW w:w="1608" w:type="dxa"/>
          </w:tcPr>
          <w:p w:rsidR="00F75E94" w:rsidRPr="00E26EA0" w:rsidRDefault="00F75E94" w:rsidP="004A24B0">
            <w:pPr>
              <w:tabs>
                <w:tab w:val="left" w:pos="2340"/>
              </w:tabs>
              <w:jc w:val="center"/>
              <w:rPr>
                <w:lang w:val="uk-UA"/>
              </w:rPr>
            </w:pPr>
            <w:r w:rsidRPr="00E26EA0">
              <w:rPr>
                <w:lang w:val="uk-UA"/>
              </w:rPr>
              <w:t>19.08.2022</w:t>
            </w:r>
          </w:p>
        </w:tc>
        <w:tc>
          <w:tcPr>
            <w:tcW w:w="2963" w:type="dxa"/>
          </w:tcPr>
          <w:p w:rsidR="00F75E94" w:rsidRPr="00E26EA0" w:rsidRDefault="00F75E94" w:rsidP="00CA5470">
            <w:pPr>
              <w:ind w:firstLine="416"/>
              <w:jc w:val="both"/>
              <w:outlineLvl w:val="1"/>
              <w:rPr>
                <w:b/>
                <w:i/>
                <w:lang w:val="uk-UA"/>
              </w:rPr>
            </w:pPr>
            <w:r w:rsidRPr="00E26EA0">
              <w:rPr>
                <w:b/>
                <w:i/>
                <w:shd w:val="clear" w:color="auto" w:fill="FFFFFF"/>
                <w:lang w:val="uk-UA"/>
              </w:rPr>
              <w:t>Закон України від 29 липня 2022 року № 2480-</w:t>
            </w:r>
            <w:r w:rsidRPr="00E26EA0">
              <w:rPr>
                <w:b/>
                <w:i/>
                <w:shd w:val="clear" w:color="auto" w:fill="FFFFFF"/>
              </w:rPr>
              <w:t>IX</w:t>
            </w:r>
            <w:r w:rsidRPr="00E26EA0">
              <w:rPr>
                <w:shd w:val="clear" w:color="auto" w:fill="FFFFFF"/>
                <w:lang w:val="uk-UA"/>
              </w:rPr>
              <w:t xml:space="preserve"> «Про внесення змін до розділу </w:t>
            </w:r>
            <w:r w:rsidRPr="00E26EA0">
              <w:rPr>
                <w:shd w:val="clear" w:color="auto" w:fill="FFFFFF"/>
              </w:rPr>
              <w:t>XX</w:t>
            </w:r>
            <w:r w:rsidRPr="00E26EA0">
              <w:rPr>
                <w:shd w:val="clear" w:color="auto" w:fill="FFFFFF"/>
                <w:lang w:val="uk-UA"/>
              </w:rPr>
              <w:t xml:space="preserve"> «Перехідні положення» Податкового кодексу України щодо забезпечення стабільного функціонування ринку природного газу протягом дії воєнного стану та подальшого відновлення» (далі – </w:t>
            </w:r>
            <w:r w:rsidRPr="00E26EA0">
              <w:rPr>
                <w:b/>
                <w:i/>
                <w:shd w:val="clear" w:color="auto" w:fill="FFFFFF"/>
                <w:lang w:val="uk-UA"/>
              </w:rPr>
              <w:t>Закон № 2480</w:t>
            </w:r>
            <w:r w:rsidRPr="00E26EA0">
              <w:rPr>
                <w:shd w:val="clear" w:color="auto" w:fill="FFFFFF"/>
                <w:lang w:val="uk-UA"/>
              </w:rPr>
              <w:t>)</w:t>
            </w:r>
          </w:p>
        </w:tc>
        <w:tc>
          <w:tcPr>
            <w:tcW w:w="3501" w:type="dxa"/>
          </w:tcPr>
          <w:p w:rsidR="00F75E94" w:rsidRPr="00E26EA0" w:rsidRDefault="00F75E94" w:rsidP="00CA5470">
            <w:pPr>
              <w:pStyle w:val="rvps2"/>
              <w:shd w:val="clear" w:color="auto" w:fill="FFFFFF"/>
              <w:spacing w:before="0" w:beforeAutospacing="0" w:after="0" w:afterAutospacing="0"/>
              <w:ind w:firstLine="513"/>
              <w:jc w:val="both"/>
              <w:textAlignment w:val="baseline"/>
            </w:pPr>
            <w:r w:rsidRPr="00E26EA0">
              <w:rPr>
                <w:b/>
                <w:i/>
              </w:rPr>
              <w:t>Законом № 2480</w:t>
            </w:r>
            <w:r w:rsidRPr="00E26EA0">
              <w:t xml:space="preserve"> підрозділ 2 розділу ХХ «Перехідні положення Податкового кодексу України (далі – ПКУ) доповнено, зокрема новими пунктами 83 і 84.</w:t>
            </w:r>
          </w:p>
          <w:p w:rsidR="00F75E94" w:rsidRPr="00E26EA0" w:rsidRDefault="00F75E94" w:rsidP="00CA5470">
            <w:pPr>
              <w:pStyle w:val="rvps2"/>
              <w:shd w:val="clear" w:color="auto" w:fill="FFFFFF"/>
              <w:spacing w:before="0" w:beforeAutospacing="0" w:after="0" w:afterAutospacing="0"/>
              <w:ind w:firstLine="513"/>
              <w:jc w:val="both"/>
              <w:textAlignment w:val="baseline"/>
            </w:pPr>
            <w:r w:rsidRPr="00E26EA0">
              <w:rPr>
                <w:lang w:val="uk-UA"/>
              </w:rPr>
              <w:t>Т</w:t>
            </w:r>
            <w:r w:rsidRPr="00E26EA0">
              <w:t>имчасово, за звітні періоди 2022 року, учасники процедури врегулювання заборгованості, які беруть участь у взаєморозрахунках, що проводяться в цілях реалізації заходів, передбачених статтею 4 Закону України «Про заходи, спрямовані на подолання кризових явищ та забезпечення фінансової стабільності на ринку природного газу», які є платниками податку на додану вартість відповідно до розділу V ПКУ, не коригують податок на додану вартість, попередньо віднесений до складу податкового кредиту та/або податкових зобов’язань, і не змінюють склад податкових зобов’язань та/або податкового кредиту на суму проведених взаєморозрахунків (п. 83 підрозділу 2 розділу ХХ ПКУ).</w:t>
            </w:r>
          </w:p>
          <w:p w:rsidR="00F75E94" w:rsidRPr="00E26EA0" w:rsidRDefault="00F75E94" w:rsidP="00CA5470">
            <w:pPr>
              <w:ind w:firstLine="513"/>
              <w:jc w:val="both"/>
              <w:rPr>
                <w:lang w:val="uk-UA" w:eastAsia="uk-UA"/>
              </w:rPr>
            </w:pPr>
            <w:r w:rsidRPr="00E26EA0">
              <w:t>До 31 грудня 2022 року звільняються від оподаткування податком на додану вартість операції з ввезення на митну територію України Національною акціонерною компанією «Нафтогаз України» природного газу, що класифікуються за кодом згідно з УКТ ЗЕД 2711 21 00 00, ввезеного на митну територію України протягом 2014-2015 років трубопровідним транспортом під зобов’язання про подання додаткової декларації, щодо якого на дату набрання чинності Законом України «Про внесення змін до розділу XX «Перехідні положення» Податкового кодексу України щодо забезпечення стабільного функціонування ринку природного газу протягом дії воєнного стану та подальшого відновлення» митними органами не було оформлено додаткових декларацій (п. 84 підрозділу 2 розділу ХХ ПКУ)</w:t>
            </w:r>
          </w:p>
        </w:tc>
        <w:tc>
          <w:tcPr>
            <w:tcW w:w="3347" w:type="dxa"/>
          </w:tcPr>
          <w:p w:rsidR="00F75E94" w:rsidRPr="00E26EA0" w:rsidRDefault="00F75E94" w:rsidP="004A24B0">
            <w:pPr>
              <w:tabs>
                <w:tab w:val="left" w:pos="2340"/>
              </w:tabs>
              <w:ind w:firstLine="255"/>
              <w:jc w:val="both"/>
              <w:rPr>
                <w:lang w:val="uk-UA" w:eastAsia="uk-UA"/>
              </w:rPr>
            </w:pPr>
          </w:p>
        </w:tc>
        <w:tc>
          <w:tcPr>
            <w:tcW w:w="3309" w:type="dxa"/>
          </w:tcPr>
          <w:p w:rsidR="00F75E94" w:rsidRPr="00E26EA0" w:rsidRDefault="00F75E94" w:rsidP="004A24B0">
            <w:pPr>
              <w:pStyle w:val="NormalWeb"/>
              <w:shd w:val="clear" w:color="auto" w:fill="FFFFFF"/>
              <w:spacing w:before="0" w:beforeAutospacing="0" w:after="300" w:afterAutospacing="0"/>
              <w:ind w:firstLine="418"/>
              <w:jc w:val="both"/>
              <w:rPr>
                <w:lang w:val="uk-UA"/>
              </w:rPr>
            </w:pP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2</w:t>
            </w:r>
          </w:p>
        </w:tc>
        <w:tc>
          <w:tcPr>
            <w:tcW w:w="1608" w:type="dxa"/>
          </w:tcPr>
          <w:p w:rsidR="00F75E94" w:rsidRPr="00E26EA0" w:rsidRDefault="00F75E94" w:rsidP="004A24B0">
            <w:pPr>
              <w:tabs>
                <w:tab w:val="left" w:pos="2340"/>
              </w:tabs>
              <w:jc w:val="center"/>
              <w:rPr>
                <w:lang w:val="uk-UA"/>
              </w:rPr>
            </w:pPr>
            <w:r w:rsidRPr="00E26EA0">
              <w:rPr>
                <w:lang w:val="uk-UA"/>
              </w:rPr>
              <w:t>19.08.2022</w:t>
            </w:r>
          </w:p>
        </w:tc>
        <w:tc>
          <w:tcPr>
            <w:tcW w:w="2963" w:type="dxa"/>
          </w:tcPr>
          <w:p w:rsidR="00F75E94" w:rsidRPr="00E26EA0" w:rsidRDefault="00F75E94" w:rsidP="00CA5470">
            <w:pPr>
              <w:ind w:firstLine="416"/>
              <w:jc w:val="both"/>
              <w:outlineLvl w:val="1"/>
              <w:rPr>
                <w:b/>
                <w:i/>
                <w:lang w:val="uk-UA"/>
              </w:rPr>
            </w:pPr>
            <w:r w:rsidRPr="00E26EA0">
              <w:rPr>
                <w:b/>
                <w:i/>
                <w:lang w:val="uk-UA"/>
              </w:rPr>
              <w:t xml:space="preserve">Закон України від 19 липня 2022 року </w:t>
            </w:r>
            <w:r w:rsidRPr="00E26EA0">
              <w:rPr>
                <w:b/>
                <w:i/>
              </w:rPr>
              <w:t> </w:t>
            </w:r>
            <w:r w:rsidRPr="00E26EA0">
              <w:rPr>
                <w:b/>
                <w:i/>
                <w:lang w:val="uk-UA"/>
              </w:rPr>
              <w:t>№ 2434-І</w:t>
            </w:r>
            <w:r w:rsidRPr="00E26EA0">
              <w:rPr>
                <w:b/>
                <w:i/>
              </w:rPr>
              <w:t>X</w:t>
            </w:r>
            <w:r w:rsidRPr="00E26EA0">
              <w:rPr>
                <w:b/>
                <w:i/>
                <w:lang w:val="uk-UA"/>
              </w:rPr>
              <w:t xml:space="preserve"> </w:t>
            </w:r>
            <w:r w:rsidRPr="00E26EA0">
              <w:rPr>
                <w:lang w:val="uk-UA"/>
              </w:rPr>
              <w:t xml:space="preserve">«Про внесення змін до деяких законодавчих актів щодо спрощення регулювання трудових відносин у сфері малого і середнього підприємництва та зменшення адміністративного навантаження на підприємницьку діяльність» (далі – </w:t>
            </w:r>
            <w:r w:rsidRPr="00E26EA0">
              <w:rPr>
                <w:b/>
                <w:i/>
                <w:lang w:val="uk-UA"/>
              </w:rPr>
              <w:t>Закон № 2434</w:t>
            </w:r>
            <w:r w:rsidRPr="00E26EA0">
              <w:rPr>
                <w:lang w:val="uk-UA"/>
              </w:rPr>
              <w:t>)</w:t>
            </w:r>
          </w:p>
        </w:tc>
        <w:tc>
          <w:tcPr>
            <w:tcW w:w="3501" w:type="dxa"/>
          </w:tcPr>
          <w:p w:rsidR="00F75E94" w:rsidRPr="00E26EA0" w:rsidRDefault="00F75E94" w:rsidP="00CA5470">
            <w:pPr>
              <w:spacing w:before="100" w:beforeAutospacing="1" w:after="100" w:afterAutospacing="1"/>
              <w:ind w:firstLine="333"/>
              <w:jc w:val="both"/>
              <w:rPr>
                <w:b/>
                <w:i/>
                <w:lang w:val="uk-UA"/>
              </w:rPr>
            </w:pPr>
          </w:p>
        </w:tc>
        <w:tc>
          <w:tcPr>
            <w:tcW w:w="3347" w:type="dxa"/>
          </w:tcPr>
          <w:p w:rsidR="00F75E94" w:rsidRPr="00E26EA0" w:rsidRDefault="00F75E94" w:rsidP="004A24B0">
            <w:pPr>
              <w:tabs>
                <w:tab w:val="left" w:pos="2340"/>
              </w:tabs>
              <w:ind w:firstLine="255"/>
              <w:jc w:val="both"/>
              <w:rPr>
                <w:lang w:val="uk-UA" w:eastAsia="uk-UA"/>
              </w:rPr>
            </w:pPr>
          </w:p>
        </w:tc>
        <w:tc>
          <w:tcPr>
            <w:tcW w:w="3309" w:type="dxa"/>
          </w:tcPr>
          <w:p w:rsidR="00F75E94" w:rsidRPr="00E26EA0" w:rsidRDefault="00F75E94" w:rsidP="003B4A92">
            <w:pPr>
              <w:pStyle w:val="NormalWeb"/>
              <w:shd w:val="clear" w:color="auto" w:fill="FFFFFF"/>
              <w:spacing w:before="0" w:beforeAutospacing="0" w:after="0" w:afterAutospacing="0"/>
              <w:ind w:firstLine="420"/>
              <w:jc w:val="both"/>
              <w:rPr>
                <w:lang w:val="uk-UA"/>
              </w:rPr>
            </w:pPr>
            <w:r w:rsidRPr="00E26EA0">
              <w:rPr>
                <w:b/>
                <w:i/>
                <w:shd w:val="clear" w:color="auto" w:fill="FFFFFF"/>
              </w:rPr>
              <w:t xml:space="preserve">Законом </w:t>
            </w:r>
            <w:r w:rsidRPr="00E26EA0">
              <w:rPr>
                <w:b/>
                <w:i/>
                <w:shd w:val="clear" w:color="auto" w:fill="FFFFFF"/>
                <w:lang w:val="uk-UA"/>
              </w:rPr>
              <w:t>№ 2434</w:t>
            </w:r>
            <w:r w:rsidRPr="00E26EA0">
              <w:rPr>
                <w:shd w:val="clear" w:color="auto" w:fill="FFFFFF"/>
                <w:lang w:val="uk-UA"/>
              </w:rPr>
              <w:t xml:space="preserve"> </w:t>
            </w:r>
            <w:r w:rsidRPr="00E26EA0">
              <w:rPr>
                <w:shd w:val="clear" w:color="auto" w:fill="FFFFFF"/>
              </w:rPr>
              <w:t>запроваджені особливості застосування спрощеного режиму регулювання трудових відносин, які визначатиме глава III-Б </w:t>
            </w:r>
            <w:hyperlink r:id="rId7" w:tgtFrame="_blank" w:history="1">
              <w:r w:rsidRPr="00CE2CBF">
                <w:rPr>
                  <w:rStyle w:val="Hyperlink"/>
                  <w:color w:val="auto"/>
                  <w:u w:val="none"/>
                  <w:shd w:val="clear" w:color="auto" w:fill="FFFFFF"/>
                </w:rPr>
                <w:t>КЗпП.</w:t>
              </w:r>
            </w:hyperlink>
            <w:r w:rsidRPr="00E26EA0">
              <w:t xml:space="preserve"> </w:t>
            </w:r>
          </w:p>
          <w:p w:rsidR="00F75E94" w:rsidRPr="00E26EA0" w:rsidRDefault="00F75E94" w:rsidP="003B4A92">
            <w:pPr>
              <w:pStyle w:val="NormalWeb"/>
              <w:shd w:val="clear" w:color="auto" w:fill="FFFFFF"/>
              <w:spacing w:before="0" w:beforeAutospacing="0" w:after="0" w:afterAutospacing="0"/>
              <w:ind w:firstLine="420"/>
              <w:jc w:val="both"/>
              <w:rPr>
                <w:lang w:val="uk-UA"/>
              </w:rPr>
            </w:pPr>
            <w:r w:rsidRPr="00E26EA0">
              <w:t xml:space="preserve">Закон </w:t>
            </w:r>
            <w:r w:rsidRPr="00E26EA0">
              <w:rPr>
                <w:lang w:val="uk-UA"/>
              </w:rPr>
              <w:t xml:space="preserve">№ 2434 </w:t>
            </w:r>
            <w:r w:rsidRPr="00E26EA0">
              <w:t>діятиме протягом воєнного стану та втратить чинність з дня його припинення або скасування</w:t>
            </w:r>
          </w:p>
        </w:tc>
      </w:tr>
      <w:tr w:rsidR="00F75E94" w:rsidRPr="00E26EA0" w:rsidTr="004A24B0">
        <w:trPr>
          <w:jc w:val="center"/>
        </w:trPr>
        <w:tc>
          <w:tcPr>
            <w:tcW w:w="15556" w:type="dxa"/>
            <w:gridSpan w:val="6"/>
          </w:tcPr>
          <w:p w:rsidR="00F75E94" w:rsidRPr="00E26EA0" w:rsidRDefault="00F75E94" w:rsidP="00CA5470">
            <w:pPr>
              <w:tabs>
                <w:tab w:val="left" w:pos="2340"/>
              </w:tabs>
              <w:ind w:firstLine="333"/>
              <w:jc w:val="center"/>
              <w:rPr>
                <w:b/>
                <w:lang w:val="uk-UA"/>
              </w:rPr>
            </w:pPr>
            <w:r w:rsidRPr="00E26EA0">
              <w:rPr>
                <w:b/>
                <w:lang w:val="uk-UA"/>
              </w:rPr>
              <w:t xml:space="preserve">Набрали чинності з 22.08.2022 по 31.08.2022 </w:t>
            </w: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1</w:t>
            </w:r>
          </w:p>
        </w:tc>
        <w:tc>
          <w:tcPr>
            <w:tcW w:w="1608" w:type="dxa"/>
          </w:tcPr>
          <w:p w:rsidR="00F75E94" w:rsidRPr="00E26EA0" w:rsidRDefault="00F75E94" w:rsidP="001303E6">
            <w:pPr>
              <w:tabs>
                <w:tab w:val="left" w:pos="2340"/>
              </w:tabs>
              <w:jc w:val="center"/>
              <w:rPr>
                <w:lang w:val="uk-UA"/>
              </w:rPr>
            </w:pPr>
            <w:r w:rsidRPr="00E26EA0">
              <w:rPr>
                <w:lang w:val="uk-UA"/>
              </w:rPr>
              <w:t>23.08.2022</w:t>
            </w:r>
          </w:p>
        </w:tc>
        <w:tc>
          <w:tcPr>
            <w:tcW w:w="2963" w:type="dxa"/>
          </w:tcPr>
          <w:p w:rsidR="00F75E94" w:rsidRPr="00E26EA0" w:rsidRDefault="00F75E94" w:rsidP="00CA5470">
            <w:pPr>
              <w:shd w:val="clear" w:color="auto" w:fill="FFFFFF"/>
              <w:tabs>
                <w:tab w:val="left" w:pos="2340"/>
              </w:tabs>
              <w:spacing w:after="138"/>
              <w:ind w:firstLine="416"/>
              <w:jc w:val="both"/>
              <w:rPr>
                <w:lang w:val="uk-UA"/>
              </w:rPr>
            </w:pPr>
            <w:r w:rsidRPr="00E26EA0">
              <w:rPr>
                <w:b/>
                <w:i/>
                <w:lang w:val="uk-UA"/>
              </w:rPr>
              <w:t>Н</w:t>
            </w:r>
            <w:r w:rsidRPr="00E26EA0">
              <w:rPr>
                <w:b/>
                <w:i/>
              </w:rPr>
              <w:t xml:space="preserve">аказ </w:t>
            </w:r>
            <w:r w:rsidRPr="00E26EA0">
              <w:rPr>
                <w:b/>
                <w:i/>
                <w:lang w:val="uk-UA"/>
              </w:rPr>
              <w:t>МФУ</w:t>
            </w:r>
            <w:r w:rsidRPr="00E26EA0">
              <w:rPr>
                <w:b/>
                <w:i/>
              </w:rPr>
              <w:t xml:space="preserve"> від 28.07.2022 № 220</w:t>
            </w:r>
            <w:r w:rsidRPr="00E26EA0">
              <w:t xml:space="preserve"> «Про затвердження Порядку списання безнадійного податкового боргу платників податків» (далі – </w:t>
            </w:r>
            <w:r w:rsidRPr="00E26EA0">
              <w:rPr>
                <w:b/>
                <w:i/>
              </w:rPr>
              <w:t>Наказ № 220</w:t>
            </w:r>
            <w:r w:rsidRPr="00E26EA0">
              <w:t>)</w:t>
            </w:r>
          </w:p>
        </w:tc>
        <w:tc>
          <w:tcPr>
            <w:tcW w:w="3501" w:type="dxa"/>
          </w:tcPr>
          <w:p w:rsidR="00F75E94" w:rsidRPr="00E26EA0" w:rsidRDefault="00F75E94" w:rsidP="00CA5470">
            <w:pPr>
              <w:pStyle w:val="NormalWeb"/>
              <w:shd w:val="clear" w:color="auto" w:fill="FFFFFF"/>
              <w:spacing w:before="0" w:beforeAutospacing="0" w:after="0" w:afterAutospacing="0"/>
              <w:ind w:firstLine="513"/>
              <w:jc w:val="both"/>
              <w:textAlignment w:val="baseline"/>
              <w:rPr>
                <w:shd w:val="clear" w:color="auto" w:fill="FFFFFF"/>
                <w:lang w:val="uk-UA"/>
              </w:rPr>
            </w:pPr>
            <w:r w:rsidRPr="00E26EA0">
              <w:rPr>
                <w:b/>
                <w:i/>
              </w:rPr>
              <w:t>Наказ</w:t>
            </w:r>
            <w:r w:rsidRPr="00E26EA0">
              <w:rPr>
                <w:b/>
                <w:i/>
                <w:lang w:val="uk-UA"/>
              </w:rPr>
              <w:t>ом</w:t>
            </w:r>
            <w:r w:rsidRPr="00E26EA0">
              <w:rPr>
                <w:b/>
                <w:i/>
              </w:rPr>
              <w:t xml:space="preserve"> № 220</w:t>
            </w:r>
            <w:r w:rsidRPr="00E26EA0">
              <w:rPr>
                <w:b/>
                <w:i/>
                <w:lang w:val="uk-UA"/>
              </w:rPr>
              <w:t xml:space="preserve"> </w:t>
            </w:r>
            <w:r w:rsidRPr="00E26EA0">
              <w:rPr>
                <w:lang w:val="uk-UA"/>
              </w:rPr>
              <w:t>в</w:t>
            </w:r>
            <w:r w:rsidRPr="00E26EA0">
              <w:rPr>
                <w:shd w:val="clear" w:color="auto" w:fill="FFFFFF"/>
              </w:rPr>
              <w:t>ідповідно до статті 101 глави 9 розділу II Податкового кодексу України</w:t>
            </w:r>
            <w:r w:rsidRPr="00E26EA0">
              <w:rPr>
                <w:shd w:val="clear" w:color="auto" w:fill="FFFFFF"/>
                <w:lang w:val="uk-UA"/>
              </w:rPr>
              <w:t xml:space="preserve"> з</w:t>
            </w:r>
            <w:r w:rsidRPr="00E26EA0">
              <w:rPr>
                <w:shd w:val="clear" w:color="auto" w:fill="FFFFFF"/>
              </w:rPr>
              <w:t>атверд</w:t>
            </w:r>
            <w:r w:rsidRPr="00E26EA0">
              <w:rPr>
                <w:shd w:val="clear" w:color="auto" w:fill="FFFFFF"/>
                <w:lang w:val="uk-UA"/>
              </w:rPr>
              <w:t>жено</w:t>
            </w:r>
            <w:r w:rsidRPr="00E26EA0">
              <w:rPr>
                <w:shd w:val="clear" w:color="auto" w:fill="FFFFFF"/>
              </w:rPr>
              <w:t xml:space="preserve"> Порядок списання безнадійного податкового боргу платників податків</w:t>
            </w:r>
            <w:r w:rsidRPr="00E26EA0">
              <w:rPr>
                <w:shd w:val="clear" w:color="auto" w:fill="FFFFFF"/>
                <w:lang w:val="uk-UA"/>
              </w:rPr>
              <w:t>.</w:t>
            </w:r>
          </w:p>
          <w:p w:rsidR="00F75E94" w:rsidRPr="00E26EA0" w:rsidRDefault="00F75E94" w:rsidP="00CA5470">
            <w:pPr>
              <w:pStyle w:val="NormalWeb"/>
              <w:shd w:val="clear" w:color="auto" w:fill="FFFFFF"/>
              <w:spacing w:before="0" w:beforeAutospacing="0" w:after="0" w:afterAutospacing="0"/>
              <w:ind w:firstLine="513"/>
              <w:jc w:val="both"/>
              <w:textAlignment w:val="baseline"/>
              <w:rPr>
                <w:lang w:val="uk-UA"/>
              </w:rPr>
            </w:pPr>
            <w:r w:rsidRPr="00E26EA0">
              <w:rPr>
                <w:lang w:val="uk-UA"/>
              </w:rPr>
              <w:t>Згідно з</w:t>
            </w:r>
            <w:r w:rsidRPr="00E26EA0">
              <w:t xml:space="preserve"> п. 2 </w:t>
            </w:r>
            <w:r w:rsidRPr="00E26EA0">
              <w:rPr>
                <w:b/>
                <w:i/>
              </w:rPr>
              <w:t>Наказу № 220</w:t>
            </w:r>
            <w:r w:rsidRPr="00E26EA0">
              <w:t xml:space="preserve"> втратив чинність, наказ Міністерства доходів і зборів України від 10.10.2013 № 577 «Про затвердження Порядку списання безнадійного податкового боргу платників податків»</w:t>
            </w:r>
          </w:p>
        </w:tc>
        <w:tc>
          <w:tcPr>
            <w:tcW w:w="3347" w:type="dxa"/>
          </w:tcPr>
          <w:p w:rsidR="00F75E94" w:rsidRPr="00E26EA0" w:rsidRDefault="00F75E94" w:rsidP="004A24B0">
            <w:pPr>
              <w:tabs>
                <w:tab w:val="left" w:pos="2340"/>
              </w:tabs>
              <w:ind w:firstLine="255"/>
              <w:jc w:val="both"/>
              <w:rPr>
                <w:lang w:val="uk-UA" w:eastAsia="uk-UA"/>
              </w:rPr>
            </w:pPr>
          </w:p>
        </w:tc>
        <w:tc>
          <w:tcPr>
            <w:tcW w:w="3309" w:type="dxa"/>
          </w:tcPr>
          <w:p w:rsidR="00F75E94" w:rsidRPr="00E26EA0" w:rsidRDefault="00F75E94" w:rsidP="004A24B0">
            <w:pPr>
              <w:pStyle w:val="tj"/>
              <w:shd w:val="clear" w:color="auto" w:fill="FFFFFF"/>
              <w:tabs>
                <w:tab w:val="left" w:pos="2340"/>
              </w:tabs>
              <w:spacing w:before="0" w:beforeAutospacing="0" w:after="0" w:afterAutospacing="0" w:line="222" w:lineRule="atLeast"/>
              <w:jc w:val="both"/>
              <w:rPr>
                <w:lang w:val="uk-UA"/>
              </w:rPr>
            </w:pPr>
          </w:p>
        </w:tc>
      </w:tr>
      <w:tr w:rsidR="00F75E94" w:rsidRPr="00E26EA0" w:rsidTr="004A24B0">
        <w:trPr>
          <w:jc w:val="center"/>
        </w:trPr>
        <w:tc>
          <w:tcPr>
            <w:tcW w:w="828" w:type="dxa"/>
          </w:tcPr>
          <w:p w:rsidR="00F75E94" w:rsidRPr="00E26EA0" w:rsidRDefault="00F75E94" w:rsidP="004A24B0">
            <w:pPr>
              <w:tabs>
                <w:tab w:val="left" w:pos="2340"/>
              </w:tabs>
              <w:jc w:val="center"/>
              <w:rPr>
                <w:lang w:val="uk-UA"/>
              </w:rPr>
            </w:pPr>
            <w:r w:rsidRPr="00E26EA0">
              <w:rPr>
                <w:lang w:val="uk-UA"/>
              </w:rPr>
              <w:t>2</w:t>
            </w:r>
          </w:p>
        </w:tc>
        <w:tc>
          <w:tcPr>
            <w:tcW w:w="1608" w:type="dxa"/>
          </w:tcPr>
          <w:p w:rsidR="00F75E94" w:rsidRPr="00E26EA0" w:rsidRDefault="00F75E94" w:rsidP="001303E6">
            <w:pPr>
              <w:tabs>
                <w:tab w:val="left" w:pos="2340"/>
              </w:tabs>
              <w:jc w:val="center"/>
              <w:rPr>
                <w:lang w:val="uk-UA"/>
              </w:rPr>
            </w:pPr>
            <w:r w:rsidRPr="00E26EA0">
              <w:rPr>
                <w:lang w:val="uk-UA"/>
              </w:rPr>
              <w:t>25.08.2022</w:t>
            </w:r>
          </w:p>
        </w:tc>
        <w:tc>
          <w:tcPr>
            <w:tcW w:w="2963" w:type="dxa"/>
          </w:tcPr>
          <w:p w:rsidR="00F75E94" w:rsidRPr="00E26EA0" w:rsidRDefault="00F75E94" w:rsidP="00CA5470">
            <w:pPr>
              <w:shd w:val="clear" w:color="auto" w:fill="FFFFFF"/>
              <w:tabs>
                <w:tab w:val="left" w:pos="2340"/>
              </w:tabs>
              <w:spacing w:after="138"/>
              <w:ind w:firstLine="416"/>
              <w:jc w:val="both"/>
              <w:rPr>
                <w:b/>
                <w:i/>
                <w:lang w:val="uk-UA"/>
              </w:rPr>
            </w:pPr>
            <w:r w:rsidRPr="00E26EA0">
              <w:rPr>
                <w:lang w:val="uk-UA"/>
              </w:rPr>
              <w:t>Наказ Міністерства фінансів України від 16.06.2022 №</w:t>
            </w:r>
            <w:r w:rsidRPr="00E26EA0">
              <w:t> </w:t>
            </w:r>
            <w:r w:rsidRPr="00E26EA0">
              <w:rPr>
                <w:lang w:val="uk-UA"/>
              </w:rPr>
              <w:t xml:space="preserve">174 (зареєстровано в Міністерстві юстиції України 04.07.2022 за № 731/38067) (далі – </w:t>
            </w:r>
            <w:r w:rsidRPr="00E26EA0">
              <w:rPr>
                <w:b/>
                <w:i/>
                <w:lang w:val="uk-UA"/>
              </w:rPr>
              <w:t>Наказ № 174</w:t>
            </w:r>
            <w:r w:rsidRPr="00E26EA0">
              <w:rPr>
                <w:lang w:val="uk-UA"/>
              </w:rPr>
              <w:t>)</w:t>
            </w:r>
          </w:p>
        </w:tc>
        <w:tc>
          <w:tcPr>
            <w:tcW w:w="3501" w:type="dxa"/>
          </w:tcPr>
          <w:p w:rsidR="00F75E94" w:rsidRPr="00E26EA0" w:rsidRDefault="00F75E94" w:rsidP="00CA5470">
            <w:pPr>
              <w:pStyle w:val="NormalWeb"/>
              <w:shd w:val="clear" w:color="auto" w:fill="FFFFFF"/>
              <w:spacing w:before="0" w:beforeAutospacing="0" w:after="0" w:afterAutospacing="0"/>
              <w:ind w:left="34" w:firstLine="513"/>
              <w:jc w:val="both"/>
            </w:pPr>
            <w:r w:rsidRPr="00E26EA0">
              <w:rPr>
                <w:b/>
                <w:i/>
                <w:lang w:val="uk-UA"/>
              </w:rPr>
              <w:t xml:space="preserve">Наказ № 174 </w:t>
            </w:r>
            <w:r w:rsidRPr="00E26EA0">
              <w:rPr>
                <w:lang w:val="uk-UA"/>
              </w:rPr>
              <w:t xml:space="preserve">МФУ </w:t>
            </w:r>
            <w:r w:rsidRPr="00E26EA0">
              <w:t>затвердив зміни до:</w:t>
            </w:r>
          </w:p>
          <w:p w:rsidR="00F75E94" w:rsidRPr="00E26EA0" w:rsidRDefault="00F75E94" w:rsidP="00CA5470">
            <w:pPr>
              <w:numPr>
                <w:ilvl w:val="0"/>
                <w:numId w:val="3"/>
              </w:numPr>
              <w:shd w:val="clear" w:color="auto" w:fill="FFFFFF"/>
              <w:ind w:left="34" w:firstLine="513"/>
              <w:jc w:val="both"/>
            </w:pPr>
            <w:r w:rsidRPr="00E26EA0">
              <w:t>форми довідки про подану декларацію про майновий стан і доходи (про сплату або відсутність податкових зобов'язань),</w:t>
            </w:r>
          </w:p>
          <w:p w:rsidR="00F75E94" w:rsidRPr="00E26EA0" w:rsidRDefault="00F75E94" w:rsidP="00CA5470">
            <w:pPr>
              <w:numPr>
                <w:ilvl w:val="0"/>
                <w:numId w:val="3"/>
              </w:numPr>
              <w:shd w:val="clear" w:color="auto" w:fill="FFFFFF"/>
              <w:ind w:left="34" w:firstLine="513"/>
              <w:jc w:val="both"/>
            </w:pPr>
            <w:r w:rsidRPr="00E26EA0">
              <w:t>Порядку оформлення і видачі довідки про подану декларацію про майновий стан і доходи (про сплату або відсутність податкових зобов'язань)</w:t>
            </w:r>
          </w:p>
          <w:p w:rsidR="00F75E94" w:rsidRPr="00E26EA0" w:rsidRDefault="00F75E94" w:rsidP="00CA5470">
            <w:pPr>
              <w:pStyle w:val="NormalWeb"/>
              <w:shd w:val="clear" w:color="auto" w:fill="FFFFFF"/>
              <w:spacing w:before="0" w:beforeAutospacing="0" w:after="0" w:afterAutospacing="0"/>
              <w:ind w:firstLine="513"/>
              <w:jc w:val="both"/>
              <w:textAlignment w:val="baseline"/>
              <w:rPr>
                <w:b/>
                <w:i/>
              </w:rPr>
            </w:pPr>
          </w:p>
        </w:tc>
        <w:tc>
          <w:tcPr>
            <w:tcW w:w="3347" w:type="dxa"/>
          </w:tcPr>
          <w:p w:rsidR="00F75E94" w:rsidRPr="00E26EA0" w:rsidRDefault="00F75E94" w:rsidP="004A24B0">
            <w:pPr>
              <w:tabs>
                <w:tab w:val="left" w:pos="2340"/>
              </w:tabs>
              <w:ind w:firstLine="255"/>
              <w:jc w:val="both"/>
              <w:rPr>
                <w:lang w:val="uk-UA" w:eastAsia="uk-UA"/>
              </w:rPr>
            </w:pPr>
          </w:p>
        </w:tc>
        <w:tc>
          <w:tcPr>
            <w:tcW w:w="3309" w:type="dxa"/>
          </w:tcPr>
          <w:p w:rsidR="00F75E94" w:rsidRPr="00E26EA0" w:rsidRDefault="00F75E94" w:rsidP="004A24B0">
            <w:pPr>
              <w:pStyle w:val="tj"/>
              <w:shd w:val="clear" w:color="auto" w:fill="FFFFFF"/>
              <w:tabs>
                <w:tab w:val="left" w:pos="2340"/>
              </w:tabs>
              <w:spacing w:before="0" w:beforeAutospacing="0" w:after="0" w:afterAutospacing="0" w:line="222" w:lineRule="atLeast"/>
              <w:jc w:val="both"/>
              <w:rPr>
                <w:lang w:val="uk-UA"/>
              </w:rPr>
            </w:pPr>
          </w:p>
        </w:tc>
      </w:tr>
    </w:tbl>
    <w:p w:rsidR="00F75E94" w:rsidRPr="00E26EA0" w:rsidRDefault="00F75E94" w:rsidP="00E42E2E">
      <w:pPr>
        <w:jc w:val="center"/>
        <w:rPr>
          <w:lang w:val="uk-UA"/>
        </w:rPr>
      </w:pPr>
      <w:r>
        <w:rPr>
          <w:lang w:val="uk-UA"/>
        </w:rPr>
        <w:t>_______________________________________________</w:t>
      </w:r>
    </w:p>
    <w:sectPr w:rsidR="00F75E94" w:rsidRPr="00E26EA0" w:rsidSect="004A24B0">
      <w:headerReference w:type="even" r:id="rId8"/>
      <w:headerReference w:type="default" r:id="rId9"/>
      <w:pgSz w:w="16838" w:h="11906" w:orient="landscape"/>
      <w:pgMar w:top="360" w:right="902" w:bottom="36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94" w:rsidRDefault="00F75E94" w:rsidP="00FD2D06">
      <w:r>
        <w:separator/>
      </w:r>
    </w:p>
  </w:endnote>
  <w:endnote w:type="continuationSeparator" w:id="1">
    <w:p w:rsidR="00F75E94" w:rsidRDefault="00F75E94" w:rsidP="00FD2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94" w:rsidRDefault="00F75E94" w:rsidP="00FD2D06">
      <w:r>
        <w:separator/>
      </w:r>
    </w:p>
  </w:footnote>
  <w:footnote w:type="continuationSeparator" w:id="1">
    <w:p w:rsidR="00F75E94" w:rsidRDefault="00F75E94" w:rsidP="00FD2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94" w:rsidRDefault="00F75E94" w:rsidP="004A24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E94" w:rsidRDefault="00F75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94" w:rsidRDefault="00F75E94" w:rsidP="004A24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75E94" w:rsidRDefault="00F75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AAE"/>
    <w:multiLevelType w:val="multilevel"/>
    <w:tmpl w:val="889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628E3"/>
    <w:multiLevelType w:val="multilevel"/>
    <w:tmpl w:val="9CB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E6FC8"/>
    <w:multiLevelType w:val="multilevel"/>
    <w:tmpl w:val="24F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3BA"/>
    <w:rsid w:val="00026117"/>
    <w:rsid w:val="00040418"/>
    <w:rsid w:val="00063F59"/>
    <w:rsid w:val="00080D50"/>
    <w:rsid w:val="000A2BC5"/>
    <w:rsid w:val="001303E6"/>
    <w:rsid w:val="0015327E"/>
    <w:rsid w:val="00174EBC"/>
    <w:rsid w:val="00183994"/>
    <w:rsid w:val="001A4B43"/>
    <w:rsid w:val="001B42BD"/>
    <w:rsid w:val="001D3CCB"/>
    <w:rsid w:val="001F24D3"/>
    <w:rsid w:val="001F7BAF"/>
    <w:rsid w:val="00222152"/>
    <w:rsid w:val="00236819"/>
    <w:rsid w:val="00273195"/>
    <w:rsid w:val="00274834"/>
    <w:rsid w:val="002A3CBC"/>
    <w:rsid w:val="00325C59"/>
    <w:rsid w:val="00332F8E"/>
    <w:rsid w:val="003340C4"/>
    <w:rsid w:val="00354741"/>
    <w:rsid w:val="00365D7F"/>
    <w:rsid w:val="00384968"/>
    <w:rsid w:val="003B4A92"/>
    <w:rsid w:val="003C0075"/>
    <w:rsid w:val="003E502D"/>
    <w:rsid w:val="004431AF"/>
    <w:rsid w:val="004A24B0"/>
    <w:rsid w:val="004D3360"/>
    <w:rsid w:val="00510D58"/>
    <w:rsid w:val="005358C9"/>
    <w:rsid w:val="005D7624"/>
    <w:rsid w:val="00674807"/>
    <w:rsid w:val="00746CAF"/>
    <w:rsid w:val="007845BE"/>
    <w:rsid w:val="00786A04"/>
    <w:rsid w:val="007A02BF"/>
    <w:rsid w:val="007F4020"/>
    <w:rsid w:val="00811BEE"/>
    <w:rsid w:val="008233BA"/>
    <w:rsid w:val="00835A77"/>
    <w:rsid w:val="008922F6"/>
    <w:rsid w:val="008E6A2A"/>
    <w:rsid w:val="009216E0"/>
    <w:rsid w:val="00921B9C"/>
    <w:rsid w:val="00951549"/>
    <w:rsid w:val="00993A08"/>
    <w:rsid w:val="009C7E88"/>
    <w:rsid w:val="00A01A98"/>
    <w:rsid w:val="00A074B9"/>
    <w:rsid w:val="00A33E2C"/>
    <w:rsid w:val="00A36640"/>
    <w:rsid w:val="00A43ED7"/>
    <w:rsid w:val="00A541C1"/>
    <w:rsid w:val="00A670F7"/>
    <w:rsid w:val="00A81F12"/>
    <w:rsid w:val="00A8384D"/>
    <w:rsid w:val="00A97FF8"/>
    <w:rsid w:val="00AC0199"/>
    <w:rsid w:val="00AC3BB0"/>
    <w:rsid w:val="00AE74E9"/>
    <w:rsid w:val="00B00161"/>
    <w:rsid w:val="00B2060B"/>
    <w:rsid w:val="00C037AD"/>
    <w:rsid w:val="00C31024"/>
    <w:rsid w:val="00C47463"/>
    <w:rsid w:val="00C76650"/>
    <w:rsid w:val="00C8536C"/>
    <w:rsid w:val="00CA5470"/>
    <w:rsid w:val="00CA5BD2"/>
    <w:rsid w:val="00CE2CBF"/>
    <w:rsid w:val="00CF27C1"/>
    <w:rsid w:val="00CF3CAE"/>
    <w:rsid w:val="00D03F5F"/>
    <w:rsid w:val="00D129AA"/>
    <w:rsid w:val="00D24DBE"/>
    <w:rsid w:val="00D30EFF"/>
    <w:rsid w:val="00D6148D"/>
    <w:rsid w:val="00D77E48"/>
    <w:rsid w:val="00D81F37"/>
    <w:rsid w:val="00D925A9"/>
    <w:rsid w:val="00D94130"/>
    <w:rsid w:val="00DA4C93"/>
    <w:rsid w:val="00DB7BDC"/>
    <w:rsid w:val="00DE640E"/>
    <w:rsid w:val="00E14A5A"/>
    <w:rsid w:val="00E26EA0"/>
    <w:rsid w:val="00E42E2E"/>
    <w:rsid w:val="00E706AA"/>
    <w:rsid w:val="00E77EFB"/>
    <w:rsid w:val="00E9205F"/>
    <w:rsid w:val="00E939DD"/>
    <w:rsid w:val="00EB7C25"/>
    <w:rsid w:val="00EE6582"/>
    <w:rsid w:val="00EF3D0B"/>
    <w:rsid w:val="00EF4FC6"/>
    <w:rsid w:val="00F06EA1"/>
    <w:rsid w:val="00F75E94"/>
    <w:rsid w:val="00F83F5F"/>
    <w:rsid w:val="00FD2D06"/>
    <w:rsid w:val="00FE15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BA"/>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8233B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8233BA"/>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33BA"/>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8233BA"/>
    <w:rPr>
      <w:rFonts w:ascii="Times New Roman" w:hAnsi="Times New Roman" w:cs="Times New Roman"/>
      <w:b/>
      <w:bCs/>
      <w:sz w:val="36"/>
      <w:szCs w:val="36"/>
      <w:lang w:val="ru-RU" w:eastAsia="ru-RU"/>
    </w:rPr>
  </w:style>
  <w:style w:type="paragraph" w:styleId="Header">
    <w:name w:val="header"/>
    <w:basedOn w:val="Normal"/>
    <w:link w:val="HeaderChar"/>
    <w:uiPriority w:val="99"/>
    <w:rsid w:val="008233BA"/>
    <w:pPr>
      <w:tabs>
        <w:tab w:val="center" w:pos="4677"/>
        <w:tab w:val="right" w:pos="9355"/>
      </w:tabs>
    </w:pPr>
  </w:style>
  <w:style w:type="character" w:customStyle="1" w:styleId="HeaderChar">
    <w:name w:val="Header Char"/>
    <w:basedOn w:val="DefaultParagraphFont"/>
    <w:link w:val="Header"/>
    <w:uiPriority w:val="99"/>
    <w:locked/>
    <w:rsid w:val="008233BA"/>
    <w:rPr>
      <w:rFonts w:ascii="Times New Roman" w:hAnsi="Times New Roman" w:cs="Times New Roman"/>
      <w:sz w:val="24"/>
      <w:szCs w:val="24"/>
      <w:lang w:val="ru-RU" w:eastAsia="ru-RU"/>
    </w:rPr>
  </w:style>
  <w:style w:type="character" w:styleId="PageNumber">
    <w:name w:val="page number"/>
    <w:basedOn w:val="DefaultParagraphFont"/>
    <w:uiPriority w:val="99"/>
    <w:rsid w:val="008233BA"/>
    <w:rPr>
      <w:rFonts w:cs="Times New Roman"/>
    </w:rPr>
  </w:style>
  <w:style w:type="paragraph" w:customStyle="1" w:styleId="rvps2">
    <w:name w:val="rvps2"/>
    <w:basedOn w:val="Normal"/>
    <w:uiPriority w:val="99"/>
    <w:rsid w:val="008233BA"/>
    <w:pPr>
      <w:spacing w:before="100" w:beforeAutospacing="1" w:after="100" w:afterAutospacing="1"/>
    </w:pPr>
  </w:style>
  <w:style w:type="paragraph" w:styleId="NormalWeb">
    <w:name w:val="Normal (Web)"/>
    <w:aliases w:val="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Обычный (веб) Знак Знак Знак Знак Знак Знак Знак,З"/>
    <w:basedOn w:val="Normal"/>
    <w:link w:val="NormalWebChar"/>
    <w:uiPriority w:val="99"/>
    <w:rsid w:val="008233BA"/>
    <w:pPr>
      <w:spacing w:before="100" w:beforeAutospacing="1" w:after="100" w:afterAutospacing="1"/>
    </w:pPr>
  </w:style>
  <w:style w:type="character" w:styleId="Hyperlink">
    <w:name w:val="Hyperlink"/>
    <w:basedOn w:val="DefaultParagraphFont"/>
    <w:uiPriority w:val="99"/>
    <w:rsid w:val="008233BA"/>
    <w:rPr>
      <w:rFonts w:cs="Times New Roman"/>
      <w:color w:val="0000FF"/>
      <w:u w:val="single"/>
    </w:rPr>
  </w:style>
  <w:style w:type="character" w:customStyle="1" w:styleId="NormalWebChar">
    <w:name w:val="Normal (Web) Char"/>
    <w:aliases w:val="Обычный (Web) Char,Обычный (Web)1 Char,Обычный (веб)1 Char,Обычный (веб)2 Char,Звичайний (веб) Знак Char,Обычный (Web)11 Char,Звичайний (веб) Знак Знак Знак Char,Обычный (веб) Знак Знак Char,Звичайний (веб) Знак Знак Знак Знак Char"/>
    <w:basedOn w:val="DefaultParagraphFont"/>
    <w:link w:val="NormalWeb"/>
    <w:uiPriority w:val="99"/>
    <w:locked/>
    <w:rsid w:val="008233BA"/>
    <w:rPr>
      <w:rFonts w:ascii="Times New Roman" w:hAnsi="Times New Roman" w:cs="Times New Roman"/>
      <w:sz w:val="24"/>
      <w:szCs w:val="24"/>
      <w:lang w:val="ru-RU" w:eastAsia="ru-RU"/>
    </w:rPr>
  </w:style>
  <w:style w:type="paragraph" w:customStyle="1" w:styleId="tj">
    <w:name w:val="tj"/>
    <w:basedOn w:val="Normal"/>
    <w:uiPriority w:val="99"/>
    <w:rsid w:val="008233BA"/>
    <w:pPr>
      <w:spacing w:before="100" w:beforeAutospacing="1" w:after="100" w:afterAutospacing="1"/>
    </w:pPr>
  </w:style>
  <w:style w:type="paragraph" w:customStyle="1" w:styleId="align-left">
    <w:name w:val="align-left"/>
    <w:basedOn w:val="Normal"/>
    <w:uiPriority w:val="99"/>
    <w:rsid w:val="008233BA"/>
    <w:pPr>
      <w:spacing w:before="100" w:beforeAutospacing="1" w:after="100" w:afterAutospacing="1"/>
    </w:pPr>
    <w:rPr>
      <w:lang w:val="uk-UA" w:eastAsia="uk-UA"/>
    </w:rPr>
  </w:style>
  <w:style w:type="character" w:styleId="Strong">
    <w:name w:val="Strong"/>
    <w:basedOn w:val="DefaultParagraphFont"/>
    <w:uiPriority w:val="99"/>
    <w:qFormat/>
    <w:rsid w:val="00DE640E"/>
    <w:rPr>
      <w:rFonts w:cs="Times New Roman"/>
      <w:b/>
      <w:bCs/>
    </w:rPr>
  </w:style>
  <w:style w:type="paragraph" w:styleId="ListParagraph">
    <w:name w:val="List Paragraph"/>
    <w:basedOn w:val="Normal"/>
    <w:uiPriority w:val="99"/>
    <w:qFormat/>
    <w:rsid w:val="00DE640E"/>
    <w:pPr>
      <w:ind w:left="720"/>
      <w:contextualSpacing/>
    </w:pPr>
  </w:style>
  <w:style w:type="character" w:customStyle="1" w:styleId="ng-binding">
    <w:name w:val="ng-binding"/>
    <w:basedOn w:val="DefaultParagraphFont"/>
    <w:uiPriority w:val="99"/>
    <w:rsid w:val="00026117"/>
    <w:rPr>
      <w:rFonts w:cs="Times New Roman"/>
    </w:rPr>
  </w:style>
  <w:style w:type="character" w:customStyle="1" w:styleId="rvts44">
    <w:name w:val="rvts44"/>
    <w:basedOn w:val="DefaultParagraphFont"/>
    <w:uiPriority w:val="99"/>
    <w:rsid w:val="00274834"/>
    <w:rPr>
      <w:rFonts w:cs="Times New Roman"/>
    </w:rPr>
  </w:style>
</w:styles>
</file>

<file path=word/webSettings.xml><?xml version="1.0" encoding="utf-8"?>
<w:webSettings xmlns:r="http://schemas.openxmlformats.org/officeDocument/2006/relationships" xmlns:w="http://schemas.openxmlformats.org/wordprocessingml/2006/main">
  <w:divs>
    <w:div w:id="734007304">
      <w:marLeft w:val="0"/>
      <w:marRight w:val="0"/>
      <w:marTop w:val="0"/>
      <w:marBottom w:val="0"/>
      <w:divBdr>
        <w:top w:val="none" w:sz="0" w:space="0" w:color="auto"/>
        <w:left w:val="none" w:sz="0" w:space="0" w:color="auto"/>
        <w:bottom w:val="none" w:sz="0" w:space="0" w:color="auto"/>
        <w:right w:val="none" w:sz="0" w:space="0" w:color="auto"/>
      </w:divBdr>
    </w:div>
    <w:div w:id="734007305">
      <w:marLeft w:val="0"/>
      <w:marRight w:val="0"/>
      <w:marTop w:val="0"/>
      <w:marBottom w:val="0"/>
      <w:divBdr>
        <w:top w:val="none" w:sz="0" w:space="0" w:color="auto"/>
        <w:left w:val="none" w:sz="0" w:space="0" w:color="auto"/>
        <w:bottom w:val="none" w:sz="0" w:space="0" w:color="auto"/>
        <w:right w:val="none" w:sz="0" w:space="0" w:color="auto"/>
      </w:divBdr>
    </w:div>
    <w:div w:id="734007306">
      <w:marLeft w:val="0"/>
      <w:marRight w:val="0"/>
      <w:marTop w:val="0"/>
      <w:marBottom w:val="0"/>
      <w:divBdr>
        <w:top w:val="none" w:sz="0" w:space="0" w:color="auto"/>
        <w:left w:val="none" w:sz="0" w:space="0" w:color="auto"/>
        <w:bottom w:val="none" w:sz="0" w:space="0" w:color="auto"/>
        <w:right w:val="none" w:sz="0" w:space="0" w:color="auto"/>
      </w:divBdr>
    </w:div>
    <w:div w:id="734007307">
      <w:marLeft w:val="0"/>
      <w:marRight w:val="0"/>
      <w:marTop w:val="0"/>
      <w:marBottom w:val="0"/>
      <w:divBdr>
        <w:top w:val="none" w:sz="0" w:space="0" w:color="auto"/>
        <w:left w:val="none" w:sz="0" w:space="0" w:color="auto"/>
        <w:bottom w:val="none" w:sz="0" w:space="0" w:color="auto"/>
        <w:right w:val="none" w:sz="0" w:space="0" w:color="auto"/>
      </w:divBdr>
    </w:div>
    <w:div w:id="734007308">
      <w:marLeft w:val="0"/>
      <w:marRight w:val="0"/>
      <w:marTop w:val="0"/>
      <w:marBottom w:val="0"/>
      <w:divBdr>
        <w:top w:val="none" w:sz="0" w:space="0" w:color="auto"/>
        <w:left w:val="none" w:sz="0" w:space="0" w:color="auto"/>
        <w:bottom w:val="none" w:sz="0" w:space="0" w:color="auto"/>
        <w:right w:val="none" w:sz="0" w:space="0" w:color="auto"/>
      </w:divBdr>
    </w:div>
    <w:div w:id="734007309">
      <w:marLeft w:val="0"/>
      <w:marRight w:val="0"/>
      <w:marTop w:val="0"/>
      <w:marBottom w:val="0"/>
      <w:divBdr>
        <w:top w:val="none" w:sz="0" w:space="0" w:color="auto"/>
        <w:left w:val="none" w:sz="0" w:space="0" w:color="auto"/>
        <w:bottom w:val="none" w:sz="0" w:space="0" w:color="auto"/>
        <w:right w:val="none" w:sz="0" w:space="0" w:color="auto"/>
      </w:divBdr>
    </w:div>
    <w:div w:id="734007310">
      <w:marLeft w:val="0"/>
      <w:marRight w:val="0"/>
      <w:marTop w:val="0"/>
      <w:marBottom w:val="0"/>
      <w:divBdr>
        <w:top w:val="none" w:sz="0" w:space="0" w:color="auto"/>
        <w:left w:val="none" w:sz="0" w:space="0" w:color="auto"/>
        <w:bottom w:val="none" w:sz="0" w:space="0" w:color="auto"/>
        <w:right w:val="none" w:sz="0" w:space="0" w:color="auto"/>
      </w:divBdr>
    </w:div>
    <w:div w:id="734007312">
      <w:marLeft w:val="0"/>
      <w:marRight w:val="0"/>
      <w:marTop w:val="0"/>
      <w:marBottom w:val="0"/>
      <w:divBdr>
        <w:top w:val="none" w:sz="0" w:space="0" w:color="auto"/>
        <w:left w:val="none" w:sz="0" w:space="0" w:color="auto"/>
        <w:bottom w:val="none" w:sz="0" w:space="0" w:color="auto"/>
        <w:right w:val="none" w:sz="0" w:space="0" w:color="auto"/>
      </w:divBdr>
    </w:div>
    <w:div w:id="734007316">
      <w:marLeft w:val="0"/>
      <w:marRight w:val="0"/>
      <w:marTop w:val="0"/>
      <w:marBottom w:val="0"/>
      <w:divBdr>
        <w:top w:val="none" w:sz="0" w:space="0" w:color="auto"/>
        <w:left w:val="none" w:sz="0" w:space="0" w:color="auto"/>
        <w:bottom w:val="none" w:sz="0" w:space="0" w:color="auto"/>
        <w:right w:val="none" w:sz="0" w:space="0" w:color="auto"/>
      </w:divBdr>
      <w:divsChild>
        <w:div w:id="734007311">
          <w:marLeft w:val="0"/>
          <w:marRight w:val="0"/>
          <w:marTop w:val="150"/>
          <w:marBottom w:val="150"/>
          <w:divBdr>
            <w:top w:val="none" w:sz="0" w:space="0" w:color="auto"/>
            <w:left w:val="none" w:sz="0" w:space="0" w:color="auto"/>
            <w:bottom w:val="none" w:sz="0" w:space="0" w:color="auto"/>
            <w:right w:val="none" w:sz="0" w:space="0" w:color="auto"/>
          </w:divBdr>
        </w:div>
        <w:div w:id="734007313">
          <w:marLeft w:val="30"/>
          <w:marRight w:val="30"/>
          <w:marTop w:val="30"/>
          <w:marBottom w:val="30"/>
          <w:divBdr>
            <w:top w:val="none" w:sz="0" w:space="0" w:color="auto"/>
            <w:left w:val="none" w:sz="0" w:space="0" w:color="auto"/>
            <w:bottom w:val="none" w:sz="0" w:space="0" w:color="auto"/>
            <w:right w:val="none" w:sz="0" w:space="0" w:color="auto"/>
          </w:divBdr>
        </w:div>
        <w:div w:id="734007314">
          <w:marLeft w:val="30"/>
          <w:marRight w:val="30"/>
          <w:marTop w:val="30"/>
          <w:marBottom w:val="30"/>
          <w:divBdr>
            <w:top w:val="none" w:sz="0" w:space="0" w:color="auto"/>
            <w:left w:val="none" w:sz="0" w:space="0" w:color="auto"/>
            <w:bottom w:val="none" w:sz="0" w:space="0" w:color="auto"/>
            <w:right w:val="none" w:sz="0" w:space="0" w:color="auto"/>
          </w:divBdr>
        </w:div>
        <w:div w:id="734007315">
          <w:marLeft w:val="0"/>
          <w:marRight w:val="0"/>
          <w:marTop w:val="150"/>
          <w:marBottom w:val="0"/>
          <w:divBdr>
            <w:top w:val="none" w:sz="0" w:space="0" w:color="auto"/>
            <w:left w:val="none" w:sz="0" w:space="0" w:color="auto"/>
            <w:bottom w:val="none" w:sz="0" w:space="0" w:color="auto"/>
            <w:right w:val="none" w:sz="0" w:space="0" w:color="auto"/>
          </w:divBdr>
        </w:div>
      </w:divsChild>
    </w:div>
    <w:div w:id="73400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s.ligazakon.net/document/KD0001?utm_source=buh.ligazakon.net&amp;utm_medium=news&amp;utm_campaign=LZtest&amp;utm_content=cons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11</Pages>
  <Words>1906</Words>
  <Characters>10868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z4043</dc:creator>
  <cp:keywords/>
  <dc:description/>
  <cp:lastModifiedBy>z304450</cp:lastModifiedBy>
  <cp:revision>88</cp:revision>
  <cp:lastPrinted>2022-09-19T11:14:00Z</cp:lastPrinted>
  <dcterms:created xsi:type="dcterms:W3CDTF">2022-09-07T11:18:00Z</dcterms:created>
  <dcterms:modified xsi:type="dcterms:W3CDTF">2022-09-19T12:25:00Z</dcterms:modified>
</cp:coreProperties>
</file>